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u8hxdbjxitl6" w:id="0"/>
      <w:bookmarkEnd w:id="0"/>
      <w:r w:rsidDel="00000000" w:rsidR="00000000" w:rsidRPr="00000000">
        <w:rPr>
          <w:b w:val="1"/>
          <w:bCs w:val="1"/>
          <w:rtl w:val="0"/>
        </w:rPr>
        <w:t xml:space="preserve">F3-X - Glossario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7g0wg2cqjbz7" w:id="1"/>
      <w:bookmarkEnd w:id="1"/>
      <w:r w:rsidDel="00000000" w:rsidR="00000000" w:rsidRPr="00000000">
        <w:rPr>
          <w:rtl w:val="0"/>
        </w:rPr>
        <w:t xml:space="preserve">Abitabilità dell’esperienza alias Abitabilità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E’ il grado di apertura del campo relazionale alle possibilità dello sviluppo.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uk4btkyfr8ve" w:id="2"/>
      <w:bookmarkEnd w:id="2"/>
      <w:r w:rsidDel="00000000" w:rsidR="00000000" w:rsidRPr="00000000">
        <w:rPr>
          <w:rtl w:val="0"/>
        </w:rPr>
        <w:t xml:space="preserve">Campo di lavoro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Definisce oggetto reale, vincoli, tempi, attori.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ym20p0ml6jxa" w:id="3"/>
      <w:bookmarkEnd w:id="3"/>
      <w:r w:rsidDel="00000000" w:rsidR="00000000" w:rsidRPr="00000000">
        <w:rPr>
          <w:rtl w:val="0"/>
        </w:rPr>
        <w:t xml:space="preserve">Campo relazionale alias Campo esperienziale alias Campo motivazionale</w:t>
      </w:r>
    </w:p>
    <w:p w:rsidR="00000000" w:rsidDel="00000000" w:rsidP="00000000" w:rsidRDefault="00000000" w:rsidRPr="00000000" w14:paraId="00000007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E’ il campo di esperienza-relazione-azione che è costitutivo del bambino. Non può esistere il bambino come soggetto al di fuori del suo campo relazionale.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before="280" w:lineRule="auto"/>
        <w:rPr/>
      </w:pPr>
      <w:bookmarkStart w:colFirst="0" w:colLast="0" w:name="_2deaq9gikedk" w:id="4"/>
      <w:bookmarkEnd w:id="4"/>
      <w:r w:rsidDel="00000000" w:rsidR="00000000" w:rsidRPr="00000000">
        <w:rPr>
          <w:rtl w:val="0"/>
        </w:rPr>
        <w:t xml:space="preserve">Concetto-ponte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Elemento che collega: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linguaggio disciplinare esterno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architettura concettuale del progetto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 essere: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non riduzionista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osservabile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interrogabile professionalmente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coerente con la tesi ontologica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Rende </w:t>
      </w:r>
      <w:r w:rsidDel="00000000" w:rsidR="00000000" w:rsidRPr="00000000">
        <w:rPr>
          <w:i w:val="1"/>
          <w:iCs w:val="1"/>
          <w:rtl w:val="0"/>
        </w:rPr>
        <w:t xml:space="preserve">compatibili</w:t>
      </w:r>
      <w:r w:rsidDel="00000000" w:rsidR="00000000" w:rsidRPr="00000000">
        <w:rPr>
          <w:rtl w:val="0"/>
        </w:rPr>
        <w:t xml:space="preserve"> linguaggi senza appiattire (es. “accesso al mondo condiviso”).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6en2nl6e1q58" w:id="5"/>
      <w:bookmarkEnd w:id="5"/>
      <w:r w:rsidDel="00000000" w:rsidR="00000000" w:rsidRPr="00000000">
        <w:rPr>
          <w:rtl w:val="0"/>
        </w:rPr>
        <w:t xml:space="preserve">Configurazione evolutiva alias Configurazione</w:t>
      </w:r>
    </w:p>
    <w:p w:rsidR="00000000" w:rsidDel="00000000" w:rsidP="00000000" w:rsidRDefault="00000000" w:rsidRPr="00000000" w14:paraId="00000013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Una Configurazione Evolutiva è la forma temporaneamente stabile assunta dalla dinamica tra Nodi Trasversali in un determinato campo relazionale.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before="280" w:lineRule="auto"/>
        <w:rPr/>
      </w:pPr>
      <w:bookmarkStart w:colFirst="0" w:colLast="0" w:name="_azcd49uqzd0o" w:id="6"/>
      <w:bookmarkEnd w:id="6"/>
      <w:r w:rsidDel="00000000" w:rsidR="00000000" w:rsidRPr="00000000">
        <w:rPr>
          <w:rtl w:val="0"/>
        </w:rPr>
        <w:t xml:space="preserve">Domanda professionale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rasformato un nodo trasversale in domanda utilizzabile nei contesti reali.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domande: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non classificano,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non diagnosticano,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rendono leggibili configurazioni evolutive.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Costituisce il primo passaggio operativo della traducibilità.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31o13tfeenph" w:id="7"/>
      <w:bookmarkEnd w:id="7"/>
      <w:r w:rsidDel="00000000" w:rsidR="00000000" w:rsidRPr="00000000">
        <w:rPr>
          <w:rtl w:val="0"/>
        </w:rPr>
        <w:t xml:space="preserve">Decisione non prescrittiva alias Decisione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decisione deriva da </w:t>
      </w:r>
      <w:r w:rsidDel="00000000" w:rsidR="00000000" w:rsidRPr="00000000">
        <w:rPr>
          <w:b w:val="1"/>
          <w:bCs w:val="1"/>
          <w:rtl w:val="0"/>
        </w:rPr>
        <w:t xml:space="preserve">coerenza configurazionale </w:t>
      </w:r>
      <w:r w:rsidDel="00000000" w:rsidR="00000000" w:rsidRPr="00000000">
        <w:rPr>
          <w:rtl w:val="0"/>
        </w:rPr>
        <w:t xml:space="preserve">e non da regole.</w:t>
      </w:r>
    </w:p>
    <w:p w:rsidR="00000000" w:rsidDel="00000000" w:rsidP="00000000" w:rsidRDefault="00000000" w:rsidRPr="00000000" w14:paraId="0000001D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Una decisione è appropriata quando aumenta l’abitabilità dell’esperienza senza restringere le possibilità evolutive.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riprende direttamente la normatività intrinseca dello sviluppo definita nel fondamento ontologico .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m6dmxsjl7g8c" w:id="8"/>
      <w:bookmarkEnd w:id="8"/>
      <w:r w:rsidDel="00000000" w:rsidR="00000000" w:rsidRPr="00000000">
        <w:rPr>
          <w:rtl w:val="0"/>
        </w:rPr>
        <w:t xml:space="preserve">Dispositivo di sostegno allo sviluppo alias Dispositivo</w:t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Nasce da una </w:t>
      </w:r>
      <w:r w:rsidDel="00000000" w:rsidR="00000000" w:rsidRPr="00000000">
        <w:rPr>
          <w:b w:val="1"/>
          <w:bCs w:val="1"/>
          <w:rtl w:val="0"/>
        </w:rPr>
        <w:t xml:space="preserve">Configurazione Evolutiva (CE)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Agisce sul </w:t>
      </w:r>
      <w:r w:rsidDel="00000000" w:rsidR="00000000" w:rsidRPr="00000000">
        <w:rPr>
          <w:b w:val="1"/>
          <w:bCs w:val="1"/>
          <w:rtl w:val="0"/>
        </w:rPr>
        <w:t xml:space="preserve">campo relazionale</w:t>
      </w:r>
      <w:r w:rsidDel="00000000" w:rsidR="00000000" w:rsidRPr="00000000">
        <w:rPr>
          <w:rtl w:val="0"/>
        </w:rPr>
        <w:t xml:space="preserve">, non sul bambino.</w:t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Modifica condizioni di esperienza.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Osservando casi diversi emerge un fatto sorprendente: dispositivi apparentemente differenti condividono la stessa struttura funzionale. Cambiano superficie e contesto, non la funzione evolutiva. Esempi: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dialogic book sharing,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gioco condiviso,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routine narrative,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counseling regolativo,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scaffolding educativo.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before="280" w:lineRule="auto"/>
        <w:rPr/>
      </w:pPr>
      <w:bookmarkStart w:colFirst="0" w:colLast="0" w:name="_yaaxpmmlymqg" w:id="9"/>
      <w:bookmarkEnd w:id="9"/>
      <w:r w:rsidDel="00000000" w:rsidR="00000000" w:rsidRPr="00000000">
        <w:rPr>
          <w:rtl w:val="0"/>
        </w:rPr>
        <w:t xml:space="preserve">Famiglia di output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traduzione interdisciplinare non produce ancora strumenti specifici, ma </w:t>
      </w:r>
      <w:r w:rsidDel="00000000" w:rsidR="00000000" w:rsidRPr="00000000">
        <w:rPr>
          <w:b w:val="1"/>
          <w:bCs w:val="1"/>
          <w:rtl w:val="0"/>
        </w:rPr>
        <w:t xml:space="preserve">famiglie di possibili output</w:t>
      </w:r>
      <w:r w:rsidDel="00000000" w:rsidR="00000000" w:rsidRPr="00000000">
        <w:rPr>
          <w:rtl w:val="0"/>
        </w:rPr>
        <w:t xml:space="preserve">, ad esempio: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osservativi,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formativi,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di accompagnamento,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di ricerca.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garantisce scalabilità interdisciplinare.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before="280" w:lineRule="auto"/>
        <w:rPr/>
      </w:pPr>
      <w:bookmarkStart w:colFirst="0" w:colLast="0" w:name="_1tnq0k9d7330" w:id="10"/>
      <w:bookmarkEnd w:id="10"/>
      <w:r w:rsidDel="00000000" w:rsidR="00000000" w:rsidRPr="00000000">
        <w:rPr>
          <w:rtl w:val="0"/>
        </w:rPr>
        <w:t xml:space="preserve">Fondamento ontologico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La costruzione di una ontologia dello sviluppo è la prima fase del progetto Sviluppo Bambino.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il0kyvbon25r" w:id="11"/>
      <w:bookmarkEnd w:id="11"/>
      <w:r w:rsidDel="00000000" w:rsidR="00000000" w:rsidRPr="00000000">
        <w:rPr>
          <w:rtl w:val="0"/>
        </w:rPr>
        <w:t xml:space="preserve">Grammatica delle configurazioni alias Grammatica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Grammatica delle Configurazioni serve a produrre descrizioni strutturali comparabili senza classificazione patologica.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61ga3032d1jz" w:id="12"/>
      <w:bookmarkEnd w:id="12"/>
      <w:r w:rsidDel="00000000" w:rsidR="00000000" w:rsidRPr="00000000">
        <w:rPr>
          <w:rtl w:val="0"/>
        </w:rPr>
        <w:t xml:space="preserve">Nodo trasversale alias Nodo</w:t>
      </w:r>
    </w:p>
    <w:p w:rsidR="00000000" w:rsidDel="00000000" w:rsidP="00000000" w:rsidRDefault="00000000" w:rsidRPr="00000000" w14:paraId="00000035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Un Nodo Trasversale è una configurazione strutturale dell’esperienza umana in sviluppo che attraversa più assi del modello e può essere tradotta in domande professionali senza ridursi a variabile disciplinare o indicatore clinico.</w:t>
      </w:r>
    </w:p>
    <w:p w:rsidR="00000000" w:rsidDel="00000000" w:rsidP="00000000" w:rsidRDefault="00000000" w:rsidRPr="00000000" w14:paraId="00000036">
      <w:pPr>
        <w:spacing w:after="0" w:before="240" w:lineRule="auto"/>
        <w:rPr/>
      </w:pPr>
      <w:r w:rsidDel="00000000" w:rsidR="00000000" w:rsidRPr="00000000">
        <w:rPr>
          <w:rtl w:val="0"/>
        </w:rPr>
        <w:t xml:space="preserve">Eleme</w:t>
      </w:r>
      <w:r w:rsidDel="00000000" w:rsidR="00000000" w:rsidRPr="00000000">
        <w:rPr>
          <w:rtl w:val="0"/>
        </w:rPr>
        <w:t xml:space="preserve">nti chiave: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configurazione</w:t>
      </w:r>
      <w:r w:rsidDel="00000000" w:rsidR="00000000" w:rsidRPr="00000000">
        <w:rPr>
          <w:rtl w:val="0"/>
        </w:rPr>
        <w:t xml:space="preserve">, non fattore;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attraversamento</w:t>
      </w:r>
      <w:r w:rsidDel="00000000" w:rsidR="00000000" w:rsidRPr="00000000">
        <w:rPr>
          <w:rtl w:val="0"/>
        </w:rPr>
        <w:t xml:space="preserve">, non appartenenza;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traducibilità</w:t>
      </w:r>
      <w:r w:rsidDel="00000000" w:rsidR="00000000" w:rsidRPr="00000000">
        <w:rPr>
          <w:rtl w:val="0"/>
        </w:rPr>
        <w:t xml:space="preserve">, non spiegazione;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leggibilità</w:t>
      </w:r>
      <w:r w:rsidDel="00000000" w:rsidR="00000000" w:rsidRPr="00000000">
        <w:rPr>
          <w:rtl w:val="0"/>
        </w:rPr>
        <w:t xml:space="preserve">, non diagnosi.</w:t>
      </w:r>
    </w:p>
    <w:p w:rsidR="00000000" w:rsidDel="00000000" w:rsidP="00000000" w:rsidRDefault="00000000" w:rsidRPr="00000000" w14:paraId="0000003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N1 — Regolazione / integrazione esperienza</w:t>
        <w:br w:type="textWrapping"/>
        <w:t xml:space="preserve">N2 — Co-regolazione</w:t>
      </w:r>
    </w:p>
    <w:p w:rsidR="00000000" w:rsidDel="00000000" w:rsidP="00000000" w:rsidRDefault="00000000" w:rsidRPr="00000000" w14:paraId="0000003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N3 — Mondo condiviso</w:t>
      </w:r>
    </w:p>
    <w:p w:rsidR="00000000" w:rsidDel="00000000" w:rsidP="00000000" w:rsidRDefault="00000000" w:rsidRPr="00000000" w14:paraId="0000003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N4 — Esplorazione</w:t>
      </w:r>
    </w:p>
    <w:p w:rsidR="00000000" w:rsidDel="00000000" w:rsidP="00000000" w:rsidRDefault="00000000" w:rsidRPr="00000000" w14:paraId="0000003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N5 — Limite reale</w:t>
      </w:r>
    </w:p>
    <w:p w:rsidR="00000000" w:rsidDel="00000000" w:rsidP="00000000" w:rsidRDefault="00000000" w:rsidRPr="00000000" w14:paraId="00000040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N6 — Continuità temporale del sé</w:t>
        <w:br w:type="textWrapping"/>
        <w:t xml:space="preserve">N7 — Desiderio</w:t>
      </w:r>
    </w:p>
    <w:p w:rsidR="00000000" w:rsidDel="00000000" w:rsidP="00000000" w:rsidRDefault="00000000" w:rsidRPr="00000000" w14:paraId="00000041">
      <w:pPr>
        <w:pStyle w:val="Heading2"/>
        <w:spacing w:after="240" w:before="240" w:lineRule="auto"/>
        <w:rPr/>
      </w:pPr>
      <w:bookmarkStart w:colFirst="0" w:colLast="0" w:name="_p6sj1yn0n6mz" w:id="13"/>
      <w:bookmarkEnd w:id="13"/>
      <w:r w:rsidDel="00000000" w:rsidR="00000000" w:rsidRPr="00000000">
        <w:rPr>
          <w:rtl w:val="0"/>
        </w:rPr>
        <w:t xml:space="preserve">Nodo dominante</w:t>
      </w:r>
    </w:p>
    <w:p w:rsidR="00000000" w:rsidDel="00000000" w:rsidP="00000000" w:rsidRDefault="00000000" w:rsidRPr="00000000" w14:paraId="00000042">
      <w:pPr>
        <w:pStyle w:val="Heading2"/>
        <w:spacing w:after="240" w:before="240" w:lineRule="auto"/>
        <w:rPr/>
      </w:pPr>
      <w:bookmarkStart w:colFirst="0" w:colLast="0" w:name="_soskirajq8wd" w:id="14"/>
      <w:bookmarkEnd w:id="14"/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ormatività intrinseca dello sviluppo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E’ definita nel fondamento ontologico 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before="280" w:lineRule="auto"/>
        <w:rPr/>
      </w:pPr>
      <w:bookmarkStart w:colFirst="0" w:colLast="0" w:name="_slrm6ps6s58w" w:id="15"/>
      <w:bookmarkEnd w:id="15"/>
      <w:r w:rsidDel="00000000" w:rsidR="00000000" w:rsidRPr="00000000">
        <w:rPr>
          <w:rtl w:val="0"/>
        </w:rPr>
        <w:t xml:space="preserve">Operatore di lettura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L’operatore di lettura trasforma dati osservativi in configurazioni di sviluppo.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Esso: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integra informazioni eterogenee,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evita interpretazioni lineari,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mantiene separata la descrizione dalla decisione.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before="280" w:lineRule="auto"/>
        <w:rPr/>
      </w:pPr>
      <w:bookmarkStart w:colFirst="0" w:colLast="0" w:name="_wb3jd6ci21vz" w:id="16"/>
      <w:bookmarkEnd w:id="16"/>
      <w:r w:rsidDel="00000000" w:rsidR="00000000" w:rsidRPr="00000000">
        <w:rPr>
          <w:rtl w:val="0"/>
        </w:rPr>
        <w:t xml:space="preserve">Output-tipo vuoto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Template riutilizzabile, indipendente dal contesto.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 a verificare che la catena di traducibilità sia completa prima della costruzione dello strumento reale.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2emtrajio6g7" w:id="17"/>
      <w:bookmarkEnd w:id="17"/>
      <w:r w:rsidDel="00000000" w:rsidR="00000000" w:rsidRPr="00000000">
        <w:rPr>
          <w:rtl w:val="0"/>
        </w:rPr>
        <w:t xml:space="preserve">Separazione tra osservazione e decisione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Principio metodologico centrale: nessun elemento prodotto nella Fase 2 (Traduzione interdisciplinare) deve implicare automaticamente un intervento.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decisione clinica, educativa o terapeutica appartiene sempre alle discipline competenti.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Fase 2 produce </w:t>
      </w:r>
      <w:r w:rsidDel="00000000" w:rsidR="00000000" w:rsidRPr="00000000">
        <w:rPr>
          <w:b w:val="1"/>
          <w:bCs w:val="1"/>
          <w:rtl w:val="0"/>
        </w:rPr>
        <w:t xml:space="preserve">leggibilità</w:t>
      </w:r>
      <w:r w:rsidDel="00000000" w:rsidR="00000000" w:rsidRPr="00000000">
        <w:rPr>
          <w:rtl w:val="0"/>
        </w:rPr>
        <w:t xml:space="preserve">, non azione.</w:t>
      </w:r>
    </w:p>
    <w:p w:rsidR="00000000" w:rsidDel="00000000" w:rsidP="00000000" w:rsidRDefault="00000000" w:rsidRPr="00000000" w14:paraId="00000051">
      <w:pPr>
        <w:pStyle w:val="Heading2"/>
        <w:spacing w:after="240" w:before="240" w:lineRule="auto"/>
        <w:rPr/>
      </w:pPr>
      <w:bookmarkStart w:colFirst="0" w:colLast="0" w:name="_hq2treqkc50e" w:id="18"/>
      <w:bookmarkEnd w:id="18"/>
      <w:r w:rsidDel="00000000" w:rsidR="00000000" w:rsidRPr="00000000">
        <w:rPr>
          <w:rtl w:val="0"/>
        </w:rPr>
        <w:t xml:space="preserve">Sostegno allo sviluppo umano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sostegno allo sviluppo umano avviene attraverso un numero limitato di </w:t>
      </w:r>
      <w:r w:rsidDel="00000000" w:rsidR="00000000" w:rsidRPr="00000000">
        <w:rPr>
          <w:b w:val="1"/>
          <w:bCs w:val="1"/>
          <w:rtl w:val="0"/>
        </w:rPr>
        <w:t xml:space="preserve">forme universali di regolazione del campo relazionale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Queste forme sono </w:t>
      </w:r>
      <w:r w:rsidDel="00000000" w:rsidR="00000000" w:rsidRPr="00000000">
        <w:rPr>
          <w:b w:val="1"/>
          <w:bCs w:val="1"/>
          <w:rtl w:val="0"/>
        </w:rPr>
        <w:t xml:space="preserve">configurazioni di intervento umano ricorrenti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non sono tecniche. Possiamo chiamarle </w:t>
      </w:r>
      <w:r w:rsidDel="00000000" w:rsidR="00000000" w:rsidRPr="00000000">
        <w:rPr>
          <w:b w:val="1"/>
          <w:bCs w:val="1"/>
          <w:rtl w:val="0"/>
        </w:rPr>
        <w:t xml:space="preserve">Tipologie universali di dispositivi</w:t>
      </w:r>
      <w:r w:rsidDel="00000000" w:rsidR="00000000" w:rsidRPr="00000000">
        <w:rPr>
          <w:rtl w:val="0"/>
        </w:rPr>
        <w:t xml:space="preserve"> (vedi).</w:t>
      </w:r>
    </w:p>
    <w:p w:rsidR="00000000" w:rsidDel="00000000" w:rsidP="00000000" w:rsidRDefault="00000000" w:rsidRPr="00000000" w14:paraId="00000054">
      <w:pPr>
        <w:pStyle w:val="Heading2"/>
        <w:spacing w:after="240" w:before="240" w:lineRule="auto"/>
        <w:rPr/>
      </w:pPr>
      <w:bookmarkStart w:colFirst="0" w:colLast="0" w:name="_x62qjgb7zq3h" w:id="19"/>
      <w:bookmarkEnd w:id="19"/>
      <w:r w:rsidDel="00000000" w:rsidR="00000000" w:rsidRPr="00000000">
        <w:rPr>
          <w:rtl w:val="0"/>
        </w:rPr>
        <w:t xml:space="preserve">Strumento contestualizzato</w:t>
      </w:r>
    </w:p>
    <w:p w:rsidR="00000000" w:rsidDel="00000000" w:rsidP="00000000" w:rsidRDefault="00000000" w:rsidRPr="00000000" w14:paraId="0000005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Workflow + artefatti, con responsabilità disciplinare esplicita.</w:t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9s3dt0yo293w" w:id="20"/>
      <w:bookmarkEnd w:id="20"/>
      <w:r w:rsidDel="00000000" w:rsidR="00000000" w:rsidRPr="00000000">
        <w:rPr>
          <w:rtl w:val="0"/>
        </w:rPr>
        <w:t xml:space="preserve">Tipologia universale di dispositivo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Sei forme fondamentali: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U1 — Dispositivo di Regolazione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U2 — Dispositivo di Sintonizzazione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U3 — Dispositivo di Apertura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U4 — Dispositivo di Mediazione simbolica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U5 — Dispositivo di Limite generativo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U6 — Dispositivo di Riattivazione del desiderio</w:t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4a6aebtrlzzd" w:id="21"/>
      <w:bookmarkEnd w:id="21"/>
      <w:r w:rsidDel="00000000" w:rsidR="00000000" w:rsidRPr="00000000">
        <w:rPr>
          <w:rtl w:val="0"/>
        </w:rPr>
        <w:t xml:space="preserve">Traduzione interdisciplinare</w:t>
      </w:r>
    </w:p>
    <w:p w:rsidR="00000000" w:rsidDel="00000000" w:rsidP="00000000" w:rsidRDefault="00000000" w:rsidRPr="00000000" w14:paraId="0000005F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Processo mediante cui un concetto mantiene la propria funzione strutturale pur cambiando linguaggio disciplinare.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