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27B8" w14:textId="77777777" w:rsidR="00B14BFF" w:rsidRPr="00B14BFF" w:rsidRDefault="00B14BFF" w:rsidP="00B14BFF">
      <w:pPr>
        <w:spacing w:line="240" w:lineRule="auto"/>
        <w:rPr>
          <w:b/>
          <w:bCs/>
        </w:rPr>
      </w:pPr>
      <w:r w:rsidRPr="00B14BFF">
        <w:rPr>
          <w:b/>
          <w:bCs/>
        </w:rPr>
        <w:t>Data Management and Sharing Plan</w:t>
      </w:r>
    </w:p>
    <w:p w14:paraId="5F3A8313" w14:textId="77777777" w:rsidR="00B14BFF" w:rsidRPr="00B14BFF" w:rsidRDefault="00B14BFF" w:rsidP="00B14BFF">
      <w:pPr>
        <w:spacing w:line="240" w:lineRule="auto"/>
        <w:rPr>
          <w:b/>
          <w:bCs/>
        </w:rPr>
      </w:pPr>
      <w:r w:rsidRPr="00B14BFF">
        <w:rPr>
          <w:b/>
          <w:bCs/>
        </w:rPr>
        <w:t>Overview</w:t>
      </w:r>
    </w:p>
    <w:p w14:paraId="62C369CF" w14:textId="77777777" w:rsidR="00B14BFF" w:rsidRPr="00B14BFF" w:rsidRDefault="00B14BFF" w:rsidP="00B14BFF">
      <w:pPr>
        <w:spacing w:line="240" w:lineRule="auto"/>
      </w:pPr>
      <w:r w:rsidRPr="00B14BFF">
        <w:t>The Indigenous Data Commons (IDC) will produce software, documentation, governance templates, metadata, training materials, operational metrics, and approved analytic products that support national-scale Indigenous-governed data infrastructure. Because the project will involve Native-serving organizations, Tribal-serving data systems, public datasets, and potentially sensitive organizational or community data, data management will balance open science with Indigenous data sovereignty. The IDC will make public products as open and reusable as possible while ensuring that restricted data are accessed, shared, interpreted, and reused only under approved governance conditions.</w:t>
      </w:r>
    </w:p>
    <w:p w14:paraId="7DBF1857" w14:textId="77777777" w:rsidR="00B14BFF" w:rsidRPr="00B14BFF" w:rsidRDefault="00B14BFF" w:rsidP="00B14BFF">
      <w:pPr>
        <w:spacing w:line="240" w:lineRule="auto"/>
      </w:pPr>
      <w:r w:rsidRPr="00B14BFF">
        <w:t>The project will not treat all data as automatically open. Access will depend on data type, sensitivity, ownership, permissions, partner agreements, applicable law, and governance review. The IDC will support FAIR-aligned metadata and discovery while operationalizing CARE principles: collective benefit, authority to control, responsibility, and ethics.</w:t>
      </w:r>
    </w:p>
    <w:p w14:paraId="2715C242" w14:textId="77777777" w:rsidR="00B14BFF" w:rsidRPr="00B14BFF" w:rsidRDefault="00B14BFF" w:rsidP="00B14BFF">
      <w:pPr>
        <w:spacing w:line="240" w:lineRule="auto"/>
        <w:rPr>
          <w:b/>
          <w:bCs/>
        </w:rPr>
      </w:pPr>
      <w:r w:rsidRPr="00B14BFF">
        <w:rPr>
          <w:b/>
          <w:bCs/>
        </w:rPr>
        <w:t>Types of Data, Software, and Materials Produced</w:t>
      </w:r>
    </w:p>
    <w:p w14:paraId="08CA332C" w14:textId="77777777" w:rsidR="00B14BFF" w:rsidRPr="00B14BFF" w:rsidRDefault="00B14BFF" w:rsidP="00B14BFF">
      <w:pPr>
        <w:spacing w:line="240" w:lineRule="auto"/>
      </w:pPr>
      <w:r w:rsidRPr="00B14BFF">
        <w:t>The project will produce open-source software components, data connector templates, validation scripts, metadata schemas, data dictionary templates, dashboard templates, API documentation, Model Context Protocol-compatible service documentation, reproducible workflow examples, and implementation guides. Governance products will include data use agreement templates, access classification guidance, onboarding checklists, data steward role descriptions, data request workflows, and community review procedures. Training products will include user guides, tutorials, workshop materials, sample exercises, and instructional resources for data integration, governance, AI-assisted analysis, reporting, and reproducible research.</w:t>
      </w:r>
    </w:p>
    <w:p w14:paraId="5019E69D" w14:textId="77777777" w:rsidR="00B14BFF" w:rsidRPr="00B14BFF" w:rsidRDefault="00B14BFF" w:rsidP="00B14BFF">
      <w:pPr>
        <w:spacing w:line="240" w:lineRule="auto"/>
      </w:pPr>
      <w:r w:rsidRPr="00B14BFF">
        <w:t>The IDC will also generate operational data, including system usage metrics, onboarding metrics, help desk metrics, training participation counts, user satisfaction results, performance measures, and annual evaluation summaries. Public versions of these products will be aggregated or de-identified before release.</w:t>
      </w:r>
    </w:p>
    <w:p w14:paraId="0CB107C1" w14:textId="77777777" w:rsidR="00B14BFF" w:rsidRPr="00B14BFF" w:rsidRDefault="00B14BFF" w:rsidP="00B14BFF">
      <w:pPr>
        <w:spacing w:line="240" w:lineRule="auto"/>
      </w:pPr>
      <w:r w:rsidRPr="00B14BFF">
        <w:t xml:space="preserve">Partner-contributed data may include organizational program data, education data, workforce data, public health data, survey data, grant reporting data, and public federal or state datasets. These data will remain subject to the ownership, permissions, restrictions, and governance terms established by the contributing organization or relevant Tribal authority. The IDC may generate </w:t>
      </w:r>
      <w:proofErr w:type="gramStart"/>
      <w:r w:rsidRPr="00B14BFF">
        <w:t>cleaned</w:t>
      </w:r>
      <w:proofErr w:type="gramEnd"/>
      <w:r w:rsidRPr="00B14BFF">
        <w:t xml:space="preserve">, harmonized, aggregate, or de-identified derivative products only </w:t>
      </w:r>
      <w:proofErr w:type="gramStart"/>
      <w:r w:rsidRPr="00B14BFF">
        <w:t>where</w:t>
      </w:r>
      <w:proofErr w:type="gramEnd"/>
      <w:r w:rsidRPr="00B14BFF">
        <w:t xml:space="preserve"> permitted by governance agreements and applicable review processes.</w:t>
      </w:r>
    </w:p>
    <w:p w14:paraId="7E832E1B" w14:textId="77777777" w:rsidR="00B14BFF" w:rsidRPr="00B14BFF" w:rsidRDefault="00B14BFF" w:rsidP="00B14BFF">
      <w:pPr>
        <w:spacing w:line="240" w:lineRule="auto"/>
        <w:rPr>
          <w:b/>
          <w:bCs/>
        </w:rPr>
      </w:pPr>
      <w:r w:rsidRPr="00B14BFF">
        <w:rPr>
          <w:b/>
          <w:bCs/>
        </w:rPr>
        <w:t>Standards for Data and Metadata</w:t>
      </w:r>
    </w:p>
    <w:p w14:paraId="098CCE74" w14:textId="77777777" w:rsidR="00B14BFF" w:rsidRPr="00B14BFF" w:rsidRDefault="00B14BFF" w:rsidP="00B14BFF">
      <w:pPr>
        <w:spacing w:line="240" w:lineRule="auto"/>
      </w:pPr>
      <w:r w:rsidRPr="00B14BFF">
        <w:t>The IDC will use documented data and metadata standards to support interoperability, reuse, reproducibility, and AI-ready analysis. Metadata records will describe source, owner or steward, provenance, collection period, update frequency, field definitions, data quality notes, access classification, permitted uses, restrictions, and citation or attribution requirements. Where appropriate, metadata practices will be compatible with common research data repositories, open data catalogs, and machine-readable schemas. When existing standards are insufficient for Indigenous-governed, multi-domain data, the project will document extensions and make reusable templates publicly available.</w:t>
      </w:r>
    </w:p>
    <w:p w14:paraId="79D8E95E" w14:textId="77777777" w:rsidR="00B14BFF" w:rsidRPr="00B14BFF" w:rsidRDefault="00B14BFF" w:rsidP="00B14BFF">
      <w:pPr>
        <w:spacing w:line="240" w:lineRule="auto"/>
      </w:pPr>
      <w:r w:rsidRPr="00B14BFF">
        <w:t xml:space="preserve">Data will be stored and exchanged using common, non-proprietary formats where feasible, including CSV, JSON, Parquet, SQL-compatible tables, Markdown, PDF/A, and other accessible formats. Software will be managed through version control with README files, installation instructions, usage examples, </w:t>
      </w:r>
      <w:r w:rsidRPr="00B14BFF">
        <w:lastRenderedPageBreak/>
        <w:t>license information, and change histories. Analytic workflows will document source data, transformation logic, software dependencies, assumptions, and limitations.</w:t>
      </w:r>
    </w:p>
    <w:p w14:paraId="117DA1F4" w14:textId="77777777" w:rsidR="00B14BFF" w:rsidRPr="00B14BFF" w:rsidRDefault="00B14BFF" w:rsidP="00B14BFF">
      <w:pPr>
        <w:spacing w:line="240" w:lineRule="auto"/>
        <w:rPr>
          <w:b/>
          <w:bCs/>
        </w:rPr>
      </w:pPr>
      <w:r w:rsidRPr="00B14BFF">
        <w:rPr>
          <w:b/>
          <w:bCs/>
        </w:rPr>
        <w:t>Access, Sharing, Privacy, and Security</w:t>
      </w:r>
    </w:p>
    <w:p w14:paraId="1BBAC936" w14:textId="77777777" w:rsidR="00B14BFF" w:rsidRPr="00B14BFF" w:rsidRDefault="00B14BFF" w:rsidP="00B14BFF">
      <w:pPr>
        <w:spacing w:line="240" w:lineRule="auto"/>
      </w:pPr>
      <w:r w:rsidRPr="00B14BFF">
        <w:t>Access to IDC products will be governed by data classification. Public products, such as open-source code, documentation, metadata templates, training materials, and approved aggregate summaries, will be shared through appropriate repositories or project websites. Restricted products, including organizational data, identifiable data, sensitive community data, and datasets requiring Tribal or organizational approval, will be available only through role-based access controls, data use agreements, and governance review. De-identified research-ready datasets will be released only when permitted by the contributing organization, applicable agreements, and any required ethical or institutional review.</w:t>
      </w:r>
    </w:p>
    <w:p w14:paraId="67C5DF9A" w14:textId="77777777" w:rsidR="00B14BFF" w:rsidRPr="00B14BFF" w:rsidRDefault="00B14BFF" w:rsidP="00B14BFF">
      <w:pPr>
        <w:spacing w:line="240" w:lineRule="auto"/>
      </w:pPr>
      <w:r w:rsidRPr="00B14BFF">
        <w:t>The IDC will implement administrative, technical, and governance safeguards to protect privacy, confidentiality, security, intellectual property, and Indigenous data rights. Safeguards will include least-privilege permissions, encryption in transit and at rest, authentication, access logging, data steward approval, periodic access review, and incident response procedures. AI-enabled services will access data only through governed interfaces that enforce permissions and maintain audit logs. AI services will not bypass access rules or expose restricted data through unrestricted natural-language responses.</w:t>
      </w:r>
    </w:p>
    <w:p w14:paraId="2D1FFF9F" w14:textId="77777777" w:rsidR="00B14BFF" w:rsidRPr="00B14BFF" w:rsidRDefault="00B14BFF" w:rsidP="00B14BFF">
      <w:pPr>
        <w:spacing w:line="240" w:lineRule="auto"/>
      </w:pPr>
      <w:r w:rsidRPr="00B14BFF">
        <w:t xml:space="preserve">Where the project involves human </w:t>
      </w:r>
      <w:proofErr w:type="gramStart"/>
      <w:r w:rsidRPr="00B14BFF">
        <w:t>subjects</w:t>
      </w:r>
      <w:proofErr w:type="gramEnd"/>
      <w:r w:rsidRPr="00B14BFF">
        <w:t xml:space="preserve"> data, identifiable private information, protected health information, education records, or other regulated data, access and sharing will comply with applicable legal, institutional, Tribal, and ethical requirements. The project team will work with AAIP, partner organizations, IRBs where applicable, and relevant Tribal authorities to determine whether additional approvals, exemptions, agreements, or restrictions are required.</w:t>
      </w:r>
    </w:p>
    <w:p w14:paraId="3F9E4716" w14:textId="77777777" w:rsidR="00B14BFF" w:rsidRPr="00B14BFF" w:rsidRDefault="00B14BFF" w:rsidP="00B14BFF">
      <w:pPr>
        <w:spacing w:line="240" w:lineRule="auto"/>
        <w:rPr>
          <w:b/>
          <w:bCs/>
        </w:rPr>
      </w:pPr>
      <w:r w:rsidRPr="00B14BFF">
        <w:rPr>
          <w:b/>
          <w:bCs/>
        </w:rPr>
        <w:t>Reuse, Redistribution, and Preservation</w:t>
      </w:r>
    </w:p>
    <w:p w14:paraId="3619E60B" w14:textId="77777777" w:rsidR="00B14BFF" w:rsidRPr="00B14BFF" w:rsidRDefault="00B14BFF" w:rsidP="00B14BFF">
      <w:pPr>
        <w:spacing w:line="240" w:lineRule="auto"/>
      </w:pPr>
      <w:r w:rsidRPr="00B14BFF">
        <w:t>Open-source software developed under the IDC will be released under an identified open-source license. Public documentation, templates, and training materials will be made available under an appropriate open license where feasible.</w:t>
      </w:r>
    </w:p>
    <w:p w14:paraId="1A9AFFAD" w14:textId="77777777" w:rsidR="00B14BFF" w:rsidRPr="00B14BFF" w:rsidRDefault="00B14BFF" w:rsidP="00B14BFF">
      <w:pPr>
        <w:spacing w:line="240" w:lineRule="auto"/>
      </w:pPr>
      <w:r w:rsidRPr="00B14BFF">
        <w:t>Reuse and redistribution of partner-contributed data will be controlled by governance agreements. Some data may be used only by the contributing organization; some may be shared as aggregate summaries; some may be available as de-identified research datasets under approved agreements; and some may not be redistributed. Derivative products, including dashboards, reports, AI-generated summaries, analytic models, and research datasets, will inherit the access and reuse restrictions of the source data unless governance review approves broader sharing.</w:t>
      </w:r>
    </w:p>
    <w:p w14:paraId="474F54DB" w14:textId="77777777" w:rsidR="00B14BFF" w:rsidRPr="00B14BFF" w:rsidRDefault="00B14BFF" w:rsidP="00B14BFF">
      <w:pPr>
        <w:spacing w:line="240" w:lineRule="auto"/>
      </w:pPr>
      <w:r w:rsidRPr="00B14BFF">
        <w:t>The IDC will preserve project-generated public products, including software, documentation, metadata templates, training materials, public reports, and approved aggregate products, in stable repositories or project-maintained public access locations. The IDC will not use NSF IDSS funds for permanent long-term hosting, archival storage, or curation of all partner research data beyond operational award needs. For long-term preservation of approved datasets, the project will work with partners to identify appropriate repositories, institutional archives, Tribal repositories, federal repositories, or other sustainable mechanisms consistent with governance requirements.</w:t>
      </w:r>
    </w:p>
    <w:p w14:paraId="164F0D6F" w14:textId="157F92A6" w:rsidR="0061119B" w:rsidRPr="00B14BFF" w:rsidRDefault="0061119B" w:rsidP="00B14BFF"/>
    <w:sectPr w:rsidR="0061119B" w:rsidRPr="00B14BFF" w:rsidSect="006111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9C"/>
    <w:rsid w:val="0054059C"/>
    <w:rsid w:val="0061119B"/>
    <w:rsid w:val="00732289"/>
    <w:rsid w:val="00B14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78FC"/>
  <w15:chartTrackingRefBased/>
  <w15:docId w15:val="{76FD5DEC-CCF4-4D98-811B-5779B4453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59C"/>
    <w:rPr>
      <w:rFonts w:eastAsiaTheme="majorEastAsia" w:cstheme="majorBidi"/>
      <w:color w:val="272727" w:themeColor="text1" w:themeTint="D8"/>
    </w:rPr>
  </w:style>
  <w:style w:type="paragraph" w:styleId="Title">
    <w:name w:val="Title"/>
    <w:basedOn w:val="Normal"/>
    <w:next w:val="Normal"/>
    <w:link w:val="TitleChar"/>
    <w:uiPriority w:val="10"/>
    <w:qFormat/>
    <w:rsid w:val="00540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59C"/>
    <w:pPr>
      <w:spacing w:before="160"/>
      <w:jc w:val="center"/>
    </w:pPr>
    <w:rPr>
      <w:i/>
      <w:iCs/>
      <w:color w:val="404040" w:themeColor="text1" w:themeTint="BF"/>
    </w:rPr>
  </w:style>
  <w:style w:type="character" w:customStyle="1" w:styleId="QuoteChar">
    <w:name w:val="Quote Char"/>
    <w:basedOn w:val="DefaultParagraphFont"/>
    <w:link w:val="Quote"/>
    <w:uiPriority w:val="29"/>
    <w:rsid w:val="0054059C"/>
    <w:rPr>
      <w:i/>
      <w:iCs/>
      <w:color w:val="404040" w:themeColor="text1" w:themeTint="BF"/>
    </w:rPr>
  </w:style>
  <w:style w:type="paragraph" w:styleId="ListParagraph">
    <w:name w:val="List Paragraph"/>
    <w:basedOn w:val="Normal"/>
    <w:uiPriority w:val="34"/>
    <w:qFormat/>
    <w:rsid w:val="0054059C"/>
    <w:pPr>
      <w:ind w:left="720"/>
      <w:contextualSpacing/>
    </w:pPr>
  </w:style>
  <w:style w:type="character" w:styleId="IntenseEmphasis">
    <w:name w:val="Intense Emphasis"/>
    <w:basedOn w:val="DefaultParagraphFont"/>
    <w:uiPriority w:val="21"/>
    <w:qFormat/>
    <w:rsid w:val="0054059C"/>
    <w:rPr>
      <w:i/>
      <w:iCs/>
      <w:color w:val="0F4761" w:themeColor="accent1" w:themeShade="BF"/>
    </w:rPr>
  </w:style>
  <w:style w:type="paragraph" w:styleId="IntenseQuote">
    <w:name w:val="Intense Quote"/>
    <w:basedOn w:val="Normal"/>
    <w:next w:val="Normal"/>
    <w:link w:val="IntenseQuoteChar"/>
    <w:uiPriority w:val="30"/>
    <w:qFormat/>
    <w:rsid w:val="00540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59C"/>
    <w:rPr>
      <w:i/>
      <w:iCs/>
      <w:color w:val="0F4761" w:themeColor="accent1" w:themeShade="BF"/>
    </w:rPr>
  </w:style>
  <w:style w:type="character" w:styleId="IntenseReference">
    <w:name w:val="Intense Reference"/>
    <w:basedOn w:val="DefaultParagraphFont"/>
    <w:uiPriority w:val="32"/>
    <w:qFormat/>
    <w:rsid w:val="00540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909</Words>
  <Characters>6304</Characters>
  <Application>Microsoft Office Word</Application>
  <DocSecurity>0</DocSecurity>
  <Lines>79</Lines>
  <Paragraphs>20</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dc:creator>
  <cp:keywords/>
  <dc:description/>
  <cp:lastModifiedBy>Ricky S</cp:lastModifiedBy>
  <cp:revision>3</cp:revision>
  <dcterms:created xsi:type="dcterms:W3CDTF">2026-06-07T05:45:00Z</dcterms:created>
  <dcterms:modified xsi:type="dcterms:W3CDTF">2026-06-07T05:53:00Z</dcterms:modified>
</cp:coreProperties>
</file>