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9D986" w14:textId="77777777" w:rsidR="007A3C3E" w:rsidRPr="007A3C3E" w:rsidRDefault="007A3C3E" w:rsidP="007A3C3E">
      <w:pPr>
        <w:rPr>
          <w:b/>
          <w:bCs/>
        </w:rPr>
      </w:pPr>
      <w:r w:rsidRPr="007A3C3E">
        <w:rPr>
          <w:b/>
          <w:bCs/>
        </w:rPr>
        <w:t>Detailed Cost Estimate Supplement</w:t>
      </w:r>
    </w:p>
    <w:p w14:paraId="513AB6A1" w14:textId="77777777" w:rsidR="007A3C3E" w:rsidRPr="007A3C3E" w:rsidRDefault="007A3C3E" w:rsidP="007A3C3E">
      <w:r w:rsidRPr="007A3C3E">
        <w:rPr>
          <w:b/>
          <w:bCs/>
        </w:rPr>
        <w:t>Proposal Title:</w:t>
      </w:r>
      <w:r w:rsidRPr="007A3C3E">
        <w:t xml:space="preserve"> Category II: Indigenous Data Commons: A National Indigenous-Governed Data Infrastructure for AI-Enabled Research, Evaluation, and Education</w:t>
      </w:r>
      <w:r w:rsidRPr="007A3C3E">
        <w:br/>
      </w:r>
      <w:r w:rsidRPr="007A3C3E">
        <w:rPr>
          <w:b/>
          <w:bCs/>
        </w:rPr>
        <w:t>Lead Organization:</w:t>
      </w:r>
      <w:r w:rsidRPr="007A3C3E">
        <w:t xml:space="preserve"> American Association of Indian Physicians</w:t>
      </w:r>
      <w:r w:rsidRPr="007A3C3E">
        <w:br/>
      </w:r>
      <w:r w:rsidRPr="007A3C3E">
        <w:rPr>
          <w:b/>
          <w:bCs/>
        </w:rPr>
        <w:t>Subaward Organization:</w:t>
      </w:r>
      <w:r w:rsidRPr="007A3C3E">
        <w:t xml:space="preserve"> St Germaine Data Innovations</w:t>
      </w:r>
      <w:r w:rsidRPr="007A3C3E">
        <w:br/>
      </w:r>
      <w:r w:rsidRPr="007A3C3E">
        <w:rPr>
          <w:b/>
          <w:bCs/>
        </w:rPr>
        <w:t>Project Duration:</w:t>
      </w:r>
      <w:r w:rsidRPr="007A3C3E">
        <w:t xml:space="preserve"> Three years</w:t>
      </w:r>
      <w:r w:rsidRPr="007A3C3E">
        <w:br/>
      </w:r>
      <w:r w:rsidRPr="007A3C3E">
        <w:rPr>
          <w:b/>
          <w:bCs/>
        </w:rPr>
        <w:t>Total Estimated Request:</w:t>
      </w:r>
      <w:r w:rsidRPr="007A3C3E">
        <w:t xml:space="preserve"> $8,750,000</w:t>
      </w:r>
    </w:p>
    <w:p w14:paraId="547D2D3B" w14:textId="77777777" w:rsidR="007A3C3E" w:rsidRPr="007A3C3E" w:rsidRDefault="007A3C3E" w:rsidP="007A3C3E">
      <w:pPr>
        <w:rPr>
          <w:b/>
          <w:bCs/>
        </w:rPr>
      </w:pPr>
      <w:r w:rsidRPr="007A3C3E">
        <w:rPr>
          <w:b/>
          <w:bCs/>
        </w:rPr>
        <w:t>1. Cost Estimate Overview</w:t>
      </w:r>
    </w:p>
    <w:p w14:paraId="613D1C1B" w14:textId="77777777" w:rsidR="007A3C3E" w:rsidRPr="007A3C3E" w:rsidRDefault="007A3C3E" w:rsidP="007A3C3E">
      <w:r w:rsidRPr="007A3C3E">
        <w:t>The proposed budget supports a three-year Category II transition project that will move existing Tribal-serving data integration, analytics, reporting, governance, and technical assistance capabilities into a national-scale operational cyberinfrastructure service. The budget is organized around the major project functions required to deploy, operate, support, secure, evaluate, and sustain the Indigenous Data Commons.</w:t>
      </w:r>
    </w:p>
    <w:p w14:paraId="006C1254" w14:textId="77777777" w:rsidR="007A3C3E" w:rsidRPr="007A3C3E" w:rsidRDefault="007A3C3E" w:rsidP="007A3C3E">
      <w:r w:rsidRPr="007A3C3E">
        <w:t>AAIP will serve as the lead organization, prime recipient, national operator, governance convener, infrastructure contract holder, and user community anchor. AAIP-managed costs include project leadership, award administration, nonprofit compliance, fiscal management, governance coordination, advisory activities, user engagement, training coordination, cloud and infrastructure service contracts, cybersecurity services, limited equipment where needed, consultants, travel, and indirect costs.</w:t>
      </w:r>
    </w:p>
    <w:p w14:paraId="4D07BDD0" w14:textId="77777777" w:rsidR="007A3C3E" w:rsidRPr="007A3C3E" w:rsidRDefault="007A3C3E" w:rsidP="007A3C3E">
      <w:r w:rsidRPr="007A3C3E">
        <w:t>SGDI will serve as the Technical Operations Core through a subaward from AAIP. SGDI costs include technical personnel, data engineering, data science, AI and Model Context Protocol-compatible services, semantic data modeling, dashboard development, evaluation, technical documentation, help desk support, partner technical onboarding, and related implementation costs.</w:t>
      </w:r>
    </w:p>
    <w:p w14:paraId="3D09AF3A" w14:textId="77777777" w:rsidR="007A3C3E" w:rsidRPr="007A3C3E" w:rsidRDefault="007A3C3E" w:rsidP="007A3C3E">
      <w:r w:rsidRPr="007A3C3E">
        <w:t>All costs are estimated to be necessary, reasonable, allocable, and allowable for the proposed scope of work. The final budget will be reconciled with AAIP’s official federally negotiated indirect cost rate agreement, SGDI’s final subaward budget, and NSF budget form requirements prior to submission.</w:t>
      </w:r>
    </w:p>
    <w:p w14:paraId="37942122" w14:textId="77777777" w:rsidR="007A3C3E" w:rsidRPr="007A3C3E" w:rsidRDefault="007A3C3E" w:rsidP="007A3C3E">
      <w:pPr>
        <w:rPr>
          <w:b/>
          <w:bCs/>
        </w:rPr>
      </w:pPr>
      <w:r w:rsidRPr="007A3C3E">
        <w:rPr>
          <w:b/>
          <w:bCs/>
        </w:rPr>
        <w:t>2. Summary by Organization and Project 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4"/>
        <w:gridCol w:w="1230"/>
        <w:gridCol w:w="1230"/>
        <w:gridCol w:w="1230"/>
        <w:gridCol w:w="1245"/>
      </w:tblGrid>
      <w:tr w:rsidR="007A3C3E" w:rsidRPr="007A3C3E" w14:paraId="54208AA4" w14:textId="77777777">
        <w:trPr>
          <w:tblHeader/>
          <w:tblCellSpacing w:w="15" w:type="dxa"/>
        </w:trPr>
        <w:tc>
          <w:tcPr>
            <w:tcW w:w="0" w:type="auto"/>
            <w:vAlign w:val="center"/>
            <w:hideMark/>
          </w:tcPr>
          <w:p w14:paraId="48C7DFC1" w14:textId="77777777" w:rsidR="007A3C3E" w:rsidRPr="007A3C3E" w:rsidRDefault="007A3C3E" w:rsidP="007A3C3E">
            <w:pPr>
              <w:rPr>
                <w:b/>
                <w:bCs/>
              </w:rPr>
            </w:pPr>
            <w:r w:rsidRPr="007A3C3E">
              <w:rPr>
                <w:b/>
                <w:bCs/>
              </w:rPr>
              <w:t>Organization / Budget Holder</w:t>
            </w:r>
          </w:p>
        </w:tc>
        <w:tc>
          <w:tcPr>
            <w:tcW w:w="0" w:type="auto"/>
            <w:vAlign w:val="center"/>
            <w:hideMark/>
          </w:tcPr>
          <w:p w14:paraId="36DFD71D" w14:textId="77777777" w:rsidR="007A3C3E" w:rsidRPr="007A3C3E" w:rsidRDefault="007A3C3E" w:rsidP="007A3C3E">
            <w:pPr>
              <w:rPr>
                <w:b/>
                <w:bCs/>
              </w:rPr>
            </w:pPr>
            <w:r w:rsidRPr="007A3C3E">
              <w:rPr>
                <w:b/>
                <w:bCs/>
              </w:rPr>
              <w:t>Year 1</w:t>
            </w:r>
          </w:p>
        </w:tc>
        <w:tc>
          <w:tcPr>
            <w:tcW w:w="0" w:type="auto"/>
            <w:vAlign w:val="center"/>
            <w:hideMark/>
          </w:tcPr>
          <w:p w14:paraId="444C51DF" w14:textId="77777777" w:rsidR="007A3C3E" w:rsidRPr="007A3C3E" w:rsidRDefault="007A3C3E" w:rsidP="007A3C3E">
            <w:pPr>
              <w:rPr>
                <w:b/>
                <w:bCs/>
              </w:rPr>
            </w:pPr>
            <w:r w:rsidRPr="007A3C3E">
              <w:rPr>
                <w:b/>
                <w:bCs/>
              </w:rPr>
              <w:t>Year 2</w:t>
            </w:r>
          </w:p>
        </w:tc>
        <w:tc>
          <w:tcPr>
            <w:tcW w:w="0" w:type="auto"/>
            <w:vAlign w:val="center"/>
            <w:hideMark/>
          </w:tcPr>
          <w:p w14:paraId="3EEDA5CA" w14:textId="77777777" w:rsidR="007A3C3E" w:rsidRPr="007A3C3E" w:rsidRDefault="007A3C3E" w:rsidP="007A3C3E">
            <w:pPr>
              <w:rPr>
                <w:b/>
                <w:bCs/>
              </w:rPr>
            </w:pPr>
            <w:r w:rsidRPr="007A3C3E">
              <w:rPr>
                <w:b/>
                <w:bCs/>
              </w:rPr>
              <w:t>Year 3</w:t>
            </w:r>
          </w:p>
        </w:tc>
        <w:tc>
          <w:tcPr>
            <w:tcW w:w="0" w:type="auto"/>
            <w:vAlign w:val="center"/>
            <w:hideMark/>
          </w:tcPr>
          <w:p w14:paraId="3DFDFEB0" w14:textId="77777777" w:rsidR="007A3C3E" w:rsidRPr="007A3C3E" w:rsidRDefault="007A3C3E" w:rsidP="007A3C3E">
            <w:pPr>
              <w:rPr>
                <w:b/>
                <w:bCs/>
              </w:rPr>
            </w:pPr>
            <w:r w:rsidRPr="007A3C3E">
              <w:rPr>
                <w:b/>
                <w:bCs/>
              </w:rPr>
              <w:t>Total</w:t>
            </w:r>
          </w:p>
        </w:tc>
      </w:tr>
      <w:tr w:rsidR="007A3C3E" w:rsidRPr="007A3C3E" w14:paraId="7E8DA97A" w14:textId="77777777">
        <w:trPr>
          <w:tblCellSpacing w:w="15" w:type="dxa"/>
        </w:trPr>
        <w:tc>
          <w:tcPr>
            <w:tcW w:w="0" w:type="auto"/>
            <w:vAlign w:val="center"/>
            <w:hideMark/>
          </w:tcPr>
          <w:p w14:paraId="7F739436" w14:textId="77777777" w:rsidR="007A3C3E" w:rsidRPr="007A3C3E" w:rsidRDefault="007A3C3E" w:rsidP="007A3C3E">
            <w:r w:rsidRPr="007A3C3E">
              <w:t>AAIP Lead Organization Costs</w:t>
            </w:r>
          </w:p>
        </w:tc>
        <w:tc>
          <w:tcPr>
            <w:tcW w:w="0" w:type="auto"/>
            <w:vAlign w:val="center"/>
            <w:hideMark/>
          </w:tcPr>
          <w:p w14:paraId="1009C545" w14:textId="77777777" w:rsidR="007A3C3E" w:rsidRPr="007A3C3E" w:rsidRDefault="007A3C3E" w:rsidP="007A3C3E">
            <w:r w:rsidRPr="007A3C3E">
              <w:t>$1,750,000</w:t>
            </w:r>
          </w:p>
        </w:tc>
        <w:tc>
          <w:tcPr>
            <w:tcW w:w="0" w:type="auto"/>
            <w:vAlign w:val="center"/>
            <w:hideMark/>
          </w:tcPr>
          <w:p w14:paraId="61E1A009" w14:textId="77777777" w:rsidR="007A3C3E" w:rsidRPr="007A3C3E" w:rsidRDefault="007A3C3E" w:rsidP="007A3C3E">
            <w:r w:rsidRPr="007A3C3E">
              <w:t>$1,600,000</w:t>
            </w:r>
          </w:p>
        </w:tc>
        <w:tc>
          <w:tcPr>
            <w:tcW w:w="0" w:type="auto"/>
            <w:vAlign w:val="center"/>
            <w:hideMark/>
          </w:tcPr>
          <w:p w14:paraId="27C56D69" w14:textId="77777777" w:rsidR="007A3C3E" w:rsidRPr="007A3C3E" w:rsidRDefault="007A3C3E" w:rsidP="007A3C3E">
            <w:r w:rsidRPr="007A3C3E">
              <w:t>$1,450,000</w:t>
            </w:r>
          </w:p>
        </w:tc>
        <w:tc>
          <w:tcPr>
            <w:tcW w:w="0" w:type="auto"/>
            <w:vAlign w:val="center"/>
            <w:hideMark/>
          </w:tcPr>
          <w:p w14:paraId="5C031D73" w14:textId="77777777" w:rsidR="007A3C3E" w:rsidRPr="007A3C3E" w:rsidRDefault="007A3C3E" w:rsidP="007A3C3E">
            <w:r w:rsidRPr="007A3C3E">
              <w:t>$4,800,000</w:t>
            </w:r>
          </w:p>
        </w:tc>
      </w:tr>
      <w:tr w:rsidR="007A3C3E" w:rsidRPr="007A3C3E" w14:paraId="26027350" w14:textId="77777777">
        <w:trPr>
          <w:tblCellSpacing w:w="15" w:type="dxa"/>
        </w:trPr>
        <w:tc>
          <w:tcPr>
            <w:tcW w:w="0" w:type="auto"/>
            <w:vAlign w:val="center"/>
            <w:hideMark/>
          </w:tcPr>
          <w:p w14:paraId="1BABB252" w14:textId="77777777" w:rsidR="007A3C3E" w:rsidRPr="007A3C3E" w:rsidRDefault="007A3C3E" w:rsidP="007A3C3E">
            <w:r w:rsidRPr="007A3C3E">
              <w:t>SGDI Technical Operations Subaward</w:t>
            </w:r>
          </w:p>
        </w:tc>
        <w:tc>
          <w:tcPr>
            <w:tcW w:w="0" w:type="auto"/>
            <w:vAlign w:val="center"/>
            <w:hideMark/>
          </w:tcPr>
          <w:p w14:paraId="24E4B727" w14:textId="77777777" w:rsidR="007A3C3E" w:rsidRPr="007A3C3E" w:rsidRDefault="007A3C3E" w:rsidP="007A3C3E">
            <w:r w:rsidRPr="007A3C3E">
              <w:t>$1,300,000</w:t>
            </w:r>
          </w:p>
        </w:tc>
        <w:tc>
          <w:tcPr>
            <w:tcW w:w="0" w:type="auto"/>
            <w:vAlign w:val="center"/>
            <w:hideMark/>
          </w:tcPr>
          <w:p w14:paraId="755311F4" w14:textId="77777777" w:rsidR="007A3C3E" w:rsidRPr="007A3C3E" w:rsidRDefault="007A3C3E" w:rsidP="007A3C3E">
            <w:r w:rsidRPr="007A3C3E">
              <w:t>$1,350,000</w:t>
            </w:r>
          </w:p>
        </w:tc>
        <w:tc>
          <w:tcPr>
            <w:tcW w:w="0" w:type="auto"/>
            <w:vAlign w:val="center"/>
            <w:hideMark/>
          </w:tcPr>
          <w:p w14:paraId="0EE4C617" w14:textId="77777777" w:rsidR="007A3C3E" w:rsidRPr="007A3C3E" w:rsidRDefault="007A3C3E" w:rsidP="007A3C3E">
            <w:r w:rsidRPr="007A3C3E">
              <w:t>$1,300,000</w:t>
            </w:r>
          </w:p>
        </w:tc>
        <w:tc>
          <w:tcPr>
            <w:tcW w:w="0" w:type="auto"/>
            <w:vAlign w:val="center"/>
            <w:hideMark/>
          </w:tcPr>
          <w:p w14:paraId="79900AFD" w14:textId="77777777" w:rsidR="007A3C3E" w:rsidRPr="007A3C3E" w:rsidRDefault="007A3C3E" w:rsidP="007A3C3E">
            <w:r w:rsidRPr="007A3C3E">
              <w:t>$3,950,000</w:t>
            </w:r>
          </w:p>
        </w:tc>
      </w:tr>
      <w:tr w:rsidR="007A3C3E" w:rsidRPr="007A3C3E" w14:paraId="3726D3F4" w14:textId="77777777">
        <w:trPr>
          <w:tblCellSpacing w:w="15" w:type="dxa"/>
        </w:trPr>
        <w:tc>
          <w:tcPr>
            <w:tcW w:w="0" w:type="auto"/>
            <w:vAlign w:val="center"/>
            <w:hideMark/>
          </w:tcPr>
          <w:p w14:paraId="470E9104" w14:textId="77777777" w:rsidR="007A3C3E" w:rsidRPr="007A3C3E" w:rsidRDefault="007A3C3E" w:rsidP="007A3C3E">
            <w:r w:rsidRPr="007A3C3E">
              <w:rPr>
                <w:b/>
                <w:bCs/>
              </w:rPr>
              <w:t>Total Estimated Request</w:t>
            </w:r>
          </w:p>
        </w:tc>
        <w:tc>
          <w:tcPr>
            <w:tcW w:w="0" w:type="auto"/>
            <w:vAlign w:val="center"/>
            <w:hideMark/>
          </w:tcPr>
          <w:p w14:paraId="14DE0ED6" w14:textId="77777777" w:rsidR="007A3C3E" w:rsidRPr="007A3C3E" w:rsidRDefault="007A3C3E" w:rsidP="007A3C3E">
            <w:r w:rsidRPr="007A3C3E">
              <w:rPr>
                <w:b/>
                <w:bCs/>
              </w:rPr>
              <w:t>$3,050,000</w:t>
            </w:r>
          </w:p>
        </w:tc>
        <w:tc>
          <w:tcPr>
            <w:tcW w:w="0" w:type="auto"/>
            <w:vAlign w:val="center"/>
            <w:hideMark/>
          </w:tcPr>
          <w:p w14:paraId="25EBED0E" w14:textId="77777777" w:rsidR="007A3C3E" w:rsidRPr="007A3C3E" w:rsidRDefault="007A3C3E" w:rsidP="007A3C3E">
            <w:r w:rsidRPr="007A3C3E">
              <w:rPr>
                <w:b/>
                <w:bCs/>
              </w:rPr>
              <w:t>$2,950,000</w:t>
            </w:r>
          </w:p>
        </w:tc>
        <w:tc>
          <w:tcPr>
            <w:tcW w:w="0" w:type="auto"/>
            <w:vAlign w:val="center"/>
            <w:hideMark/>
          </w:tcPr>
          <w:p w14:paraId="66F1E63C" w14:textId="77777777" w:rsidR="007A3C3E" w:rsidRPr="007A3C3E" w:rsidRDefault="007A3C3E" w:rsidP="007A3C3E">
            <w:r w:rsidRPr="007A3C3E">
              <w:rPr>
                <w:b/>
                <w:bCs/>
              </w:rPr>
              <w:t>$2,750,000</w:t>
            </w:r>
          </w:p>
        </w:tc>
        <w:tc>
          <w:tcPr>
            <w:tcW w:w="0" w:type="auto"/>
            <w:vAlign w:val="center"/>
            <w:hideMark/>
          </w:tcPr>
          <w:p w14:paraId="691A75D1" w14:textId="77777777" w:rsidR="007A3C3E" w:rsidRPr="007A3C3E" w:rsidRDefault="007A3C3E" w:rsidP="007A3C3E">
            <w:r w:rsidRPr="007A3C3E">
              <w:rPr>
                <w:b/>
                <w:bCs/>
              </w:rPr>
              <w:t>$8,750,000</w:t>
            </w:r>
          </w:p>
        </w:tc>
      </w:tr>
    </w:tbl>
    <w:p w14:paraId="679E093C" w14:textId="77777777" w:rsidR="007A3C3E" w:rsidRPr="007A3C3E" w:rsidRDefault="007A3C3E" w:rsidP="007A3C3E">
      <w:r w:rsidRPr="007A3C3E">
        <w:t>AAIP-managed costs represent approximately 55 percent of the total project request. SGDI subaward costs represent approximately 45 percent of the total request. The total estimated request is below the NSF 26-509 Category II maximum of $9,000,000.</w:t>
      </w:r>
    </w:p>
    <w:p w14:paraId="34D53B95" w14:textId="77777777" w:rsidR="007A3C3E" w:rsidRPr="007A3C3E" w:rsidRDefault="007A3C3E" w:rsidP="007A3C3E">
      <w:pPr>
        <w:rPr>
          <w:b/>
          <w:bCs/>
        </w:rPr>
      </w:pPr>
      <w:r w:rsidRPr="007A3C3E">
        <w:rPr>
          <w:b/>
          <w:bCs/>
        </w:rPr>
        <w:t>3. Summary by Work Area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0"/>
        <w:gridCol w:w="1230"/>
        <w:gridCol w:w="1230"/>
        <w:gridCol w:w="1245"/>
      </w:tblGrid>
      <w:tr w:rsidR="007A3C3E" w:rsidRPr="007A3C3E" w14:paraId="4AFFF033" w14:textId="77777777">
        <w:trPr>
          <w:tblHeader/>
          <w:tblCellSpacing w:w="15" w:type="dxa"/>
        </w:trPr>
        <w:tc>
          <w:tcPr>
            <w:tcW w:w="0" w:type="auto"/>
            <w:vAlign w:val="center"/>
            <w:hideMark/>
          </w:tcPr>
          <w:p w14:paraId="735B9579" w14:textId="77777777" w:rsidR="007A3C3E" w:rsidRPr="007A3C3E" w:rsidRDefault="007A3C3E" w:rsidP="007A3C3E">
            <w:pPr>
              <w:rPr>
                <w:b/>
                <w:bCs/>
              </w:rPr>
            </w:pPr>
            <w:r w:rsidRPr="007A3C3E">
              <w:rPr>
                <w:b/>
                <w:bCs/>
              </w:rPr>
              <w:lastRenderedPageBreak/>
              <w:t>Work Area</w:t>
            </w:r>
          </w:p>
        </w:tc>
        <w:tc>
          <w:tcPr>
            <w:tcW w:w="0" w:type="auto"/>
            <w:vAlign w:val="center"/>
            <w:hideMark/>
          </w:tcPr>
          <w:p w14:paraId="1B8234B3" w14:textId="77777777" w:rsidR="007A3C3E" w:rsidRPr="007A3C3E" w:rsidRDefault="007A3C3E" w:rsidP="007A3C3E">
            <w:pPr>
              <w:rPr>
                <w:b/>
                <w:bCs/>
              </w:rPr>
            </w:pPr>
            <w:r w:rsidRPr="007A3C3E">
              <w:rPr>
                <w:b/>
                <w:bCs/>
              </w:rPr>
              <w:t>AAIP</w:t>
            </w:r>
          </w:p>
        </w:tc>
        <w:tc>
          <w:tcPr>
            <w:tcW w:w="0" w:type="auto"/>
            <w:vAlign w:val="center"/>
            <w:hideMark/>
          </w:tcPr>
          <w:p w14:paraId="6D2C86AC" w14:textId="77777777" w:rsidR="007A3C3E" w:rsidRPr="007A3C3E" w:rsidRDefault="007A3C3E" w:rsidP="007A3C3E">
            <w:pPr>
              <w:rPr>
                <w:b/>
                <w:bCs/>
              </w:rPr>
            </w:pPr>
            <w:r w:rsidRPr="007A3C3E">
              <w:rPr>
                <w:b/>
                <w:bCs/>
              </w:rPr>
              <w:t>SGDI</w:t>
            </w:r>
          </w:p>
        </w:tc>
        <w:tc>
          <w:tcPr>
            <w:tcW w:w="0" w:type="auto"/>
            <w:vAlign w:val="center"/>
            <w:hideMark/>
          </w:tcPr>
          <w:p w14:paraId="603777E8" w14:textId="77777777" w:rsidR="007A3C3E" w:rsidRPr="007A3C3E" w:rsidRDefault="007A3C3E" w:rsidP="007A3C3E">
            <w:pPr>
              <w:rPr>
                <w:b/>
                <w:bCs/>
              </w:rPr>
            </w:pPr>
            <w:r w:rsidRPr="007A3C3E">
              <w:rPr>
                <w:b/>
                <w:bCs/>
              </w:rPr>
              <w:t>Total</w:t>
            </w:r>
          </w:p>
        </w:tc>
      </w:tr>
      <w:tr w:rsidR="007A3C3E" w:rsidRPr="007A3C3E" w14:paraId="3CC539E3" w14:textId="77777777">
        <w:trPr>
          <w:tblCellSpacing w:w="15" w:type="dxa"/>
        </w:trPr>
        <w:tc>
          <w:tcPr>
            <w:tcW w:w="0" w:type="auto"/>
            <w:vAlign w:val="center"/>
            <w:hideMark/>
          </w:tcPr>
          <w:p w14:paraId="57AEA41A" w14:textId="77777777" w:rsidR="007A3C3E" w:rsidRPr="007A3C3E" w:rsidRDefault="007A3C3E" w:rsidP="007A3C3E">
            <w:r w:rsidRPr="007A3C3E">
              <w:t>Project Leadership, Administration, and Compliance</w:t>
            </w:r>
          </w:p>
        </w:tc>
        <w:tc>
          <w:tcPr>
            <w:tcW w:w="0" w:type="auto"/>
            <w:vAlign w:val="center"/>
            <w:hideMark/>
          </w:tcPr>
          <w:p w14:paraId="61DA4F89" w14:textId="77777777" w:rsidR="007A3C3E" w:rsidRPr="007A3C3E" w:rsidRDefault="007A3C3E" w:rsidP="007A3C3E">
            <w:r w:rsidRPr="007A3C3E">
              <w:t>$950,000</w:t>
            </w:r>
          </w:p>
        </w:tc>
        <w:tc>
          <w:tcPr>
            <w:tcW w:w="0" w:type="auto"/>
            <w:vAlign w:val="center"/>
            <w:hideMark/>
          </w:tcPr>
          <w:p w14:paraId="0F2A2FA9" w14:textId="77777777" w:rsidR="007A3C3E" w:rsidRPr="007A3C3E" w:rsidRDefault="007A3C3E" w:rsidP="007A3C3E">
            <w:r w:rsidRPr="007A3C3E">
              <w:t>$275,000</w:t>
            </w:r>
          </w:p>
        </w:tc>
        <w:tc>
          <w:tcPr>
            <w:tcW w:w="0" w:type="auto"/>
            <w:vAlign w:val="center"/>
            <w:hideMark/>
          </w:tcPr>
          <w:p w14:paraId="607327A8" w14:textId="77777777" w:rsidR="007A3C3E" w:rsidRPr="007A3C3E" w:rsidRDefault="007A3C3E" w:rsidP="007A3C3E">
            <w:r w:rsidRPr="007A3C3E">
              <w:t>$1,225,000</w:t>
            </w:r>
          </w:p>
        </w:tc>
      </w:tr>
      <w:tr w:rsidR="007A3C3E" w:rsidRPr="007A3C3E" w14:paraId="37DADB72" w14:textId="77777777">
        <w:trPr>
          <w:tblCellSpacing w:w="15" w:type="dxa"/>
        </w:trPr>
        <w:tc>
          <w:tcPr>
            <w:tcW w:w="0" w:type="auto"/>
            <w:vAlign w:val="center"/>
            <w:hideMark/>
          </w:tcPr>
          <w:p w14:paraId="754A9BD8" w14:textId="77777777" w:rsidR="007A3C3E" w:rsidRPr="007A3C3E" w:rsidRDefault="007A3C3E" w:rsidP="007A3C3E">
            <w:r w:rsidRPr="007A3C3E">
              <w:t>Indigenous Data Governance and Partner Engagement</w:t>
            </w:r>
          </w:p>
        </w:tc>
        <w:tc>
          <w:tcPr>
            <w:tcW w:w="0" w:type="auto"/>
            <w:vAlign w:val="center"/>
            <w:hideMark/>
          </w:tcPr>
          <w:p w14:paraId="4A499A44" w14:textId="77777777" w:rsidR="007A3C3E" w:rsidRPr="007A3C3E" w:rsidRDefault="007A3C3E" w:rsidP="007A3C3E">
            <w:r w:rsidRPr="007A3C3E">
              <w:t>$875,000</w:t>
            </w:r>
          </w:p>
        </w:tc>
        <w:tc>
          <w:tcPr>
            <w:tcW w:w="0" w:type="auto"/>
            <w:vAlign w:val="center"/>
            <w:hideMark/>
          </w:tcPr>
          <w:p w14:paraId="04AFF2A8" w14:textId="77777777" w:rsidR="007A3C3E" w:rsidRPr="007A3C3E" w:rsidRDefault="007A3C3E" w:rsidP="007A3C3E">
            <w:r w:rsidRPr="007A3C3E">
              <w:t>$250,000</w:t>
            </w:r>
          </w:p>
        </w:tc>
        <w:tc>
          <w:tcPr>
            <w:tcW w:w="0" w:type="auto"/>
            <w:vAlign w:val="center"/>
            <w:hideMark/>
          </w:tcPr>
          <w:p w14:paraId="6CFCC33D" w14:textId="77777777" w:rsidR="007A3C3E" w:rsidRPr="007A3C3E" w:rsidRDefault="007A3C3E" w:rsidP="007A3C3E">
            <w:r w:rsidRPr="007A3C3E">
              <w:t>$1,125,000</w:t>
            </w:r>
          </w:p>
        </w:tc>
      </w:tr>
      <w:tr w:rsidR="007A3C3E" w:rsidRPr="007A3C3E" w14:paraId="665A777A" w14:textId="77777777">
        <w:trPr>
          <w:tblCellSpacing w:w="15" w:type="dxa"/>
        </w:trPr>
        <w:tc>
          <w:tcPr>
            <w:tcW w:w="0" w:type="auto"/>
            <w:vAlign w:val="center"/>
            <w:hideMark/>
          </w:tcPr>
          <w:p w14:paraId="6221679F" w14:textId="77777777" w:rsidR="007A3C3E" w:rsidRPr="007A3C3E" w:rsidRDefault="007A3C3E" w:rsidP="007A3C3E">
            <w:r w:rsidRPr="007A3C3E">
              <w:t>Technical Infrastructure, Cloud, Security, and Operations</w:t>
            </w:r>
          </w:p>
        </w:tc>
        <w:tc>
          <w:tcPr>
            <w:tcW w:w="0" w:type="auto"/>
            <w:vAlign w:val="center"/>
            <w:hideMark/>
          </w:tcPr>
          <w:p w14:paraId="36913C58" w14:textId="77777777" w:rsidR="007A3C3E" w:rsidRPr="007A3C3E" w:rsidRDefault="007A3C3E" w:rsidP="007A3C3E">
            <w:r w:rsidRPr="007A3C3E">
              <w:t>$1,475,000</w:t>
            </w:r>
          </w:p>
        </w:tc>
        <w:tc>
          <w:tcPr>
            <w:tcW w:w="0" w:type="auto"/>
            <w:vAlign w:val="center"/>
            <w:hideMark/>
          </w:tcPr>
          <w:p w14:paraId="7CC4BFED" w14:textId="77777777" w:rsidR="007A3C3E" w:rsidRPr="007A3C3E" w:rsidRDefault="007A3C3E" w:rsidP="007A3C3E">
            <w:r w:rsidRPr="007A3C3E">
              <w:t>$775,000</w:t>
            </w:r>
          </w:p>
        </w:tc>
        <w:tc>
          <w:tcPr>
            <w:tcW w:w="0" w:type="auto"/>
            <w:vAlign w:val="center"/>
            <w:hideMark/>
          </w:tcPr>
          <w:p w14:paraId="2303DDA3" w14:textId="77777777" w:rsidR="007A3C3E" w:rsidRPr="007A3C3E" w:rsidRDefault="007A3C3E" w:rsidP="007A3C3E">
            <w:r w:rsidRPr="007A3C3E">
              <w:t>$2,250,000</w:t>
            </w:r>
          </w:p>
        </w:tc>
      </w:tr>
      <w:tr w:rsidR="007A3C3E" w:rsidRPr="007A3C3E" w14:paraId="557BE0A7" w14:textId="77777777">
        <w:trPr>
          <w:tblCellSpacing w:w="15" w:type="dxa"/>
        </w:trPr>
        <w:tc>
          <w:tcPr>
            <w:tcW w:w="0" w:type="auto"/>
            <w:vAlign w:val="center"/>
            <w:hideMark/>
          </w:tcPr>
          <w:p w14:paraId="37A6652D" w14:textId="77777777" w:rsidR="007A3C3E" w:rsidRPr="007A3C3E" w:rsidRDefault="007A3C3E" w:rsidP="007A3C3E">
            <w:r w:rsidRPr="007A3C3E">
              <w:t>Data Integration, Metadata, and Semantic Modeling</w:t>
            </w:r>
          </w:p>
        </w:tc>
        <w:tc>
          <w:tcPr>
            <w:tcW w:w="0" w:type="auto"/>
            <w:vAlign w:val="center"/>
            <w:hideMark/>
          </w:tcPr>
          <w:p w14:paraId="058451BB" w14:textId="77777777" w:rsidR="007A3C3E" w:rsidRPr="007A3C3E" w:rsidRDefault="007A3C3E" w:rsidP="007A3C3E">
            <w:r w:rsidRPr="007A3C3E">
              <w:t>$300,000</w:t>
            </w:r>
          </w:p>
        </w:tc>
        <w:tc>
          <w:tcPr>
            <w:tcW w:w="0" w:type="auto"/>
            <w:vAlign w:val="center"/>
            <w:hideMark/>
          </w:tcPr>
          <w:p w14:paraId="4040395E" w14:textId="77777777" w:rsidR="007A3C3E" w:rsidRPr="007A3C3E" w:rsidRDefault="007A3C3E" w:rsidP="007A3C3E">
            <w:r w:rsidRPr="007A3C3E">
              <w:t>$1,100,000</w:t>
            </w:r>
          </w:p>
        </w:tc>
        <w:tc>
          <w:tcPr>
            <w:tcW w:w="0" w:type="auto"/>
            <w:vAlign w:val="center"/>
            <w:hideMark/>
          </w:tcPr>
          <w:p w14:paraId="7AE59B18" w14:textId="77777777" w:rsidR="007A3C3E" w:rsidRPr="007A3C3E" w:rsidRDefault="007A3C3E" w:rsidP="007A3C3E">
            <w:r w:rsidRPr="007A3C3E">
              <w:t>$1,400,000</w:t>
            </w:r>
          </w:p>
        </w:tc>
      </w:tr>
      <w:tr w:rsidR="007A3C3E" w:rsidRPr="007A3C3E" w14:paraId="2C4D4F4E" w14:textId="77777777">
        <w:trPr>
          <w:tblCellSpacing w:w="15" w:type="dxa"/>
        </w:trPr>
        <w:tc>
          <w:tcPr>
            <w:tcW w:w="0" w:type="auto"/>
            <w:vAlign w:val="center"/>
            <w:hideMark/>
          </w:tcPr>
          <w:p w14:paraId="0C66471B" w14:textId="77777777" w:rsidR="007A3C3E" w:rsidRPr="007A3C3E" w:rsidRDefault="007A3C3E" w:rsidP="007A3C3E">
            <w:r w:rsidRPr="007A3C3E">
              <w:t>AI/MCP Services, Analytics, and Reporting</w:t>
            </w:r>
          </w:p>
        </w:tc>
        <w:tc>
          <w:tcPr>
            <w:tcW w:w="0" w:type="auto"/>
            <w:vAlign w:val="center"/>
            <w:hideMark/>
          </w:tcPr>
          <w:p w14:paraId="4AC28184" w14:textId="77777777" w:rsidR="007A3C3E" w:rsidRPr="007A3C3E" w:rsidRDefault="007A3C3E" w:rsidP="007A3C3E">
            <w:r w:rsidRPr="007A3C3E">
              <w:t>$275,000</w:t>
            </w:r>
          </w:p>
        </w:tc>
        <w:tc>
          <w:tcPr>
            <w:tcW w:w="0" w:type="auto"/>
            <w:vAlign w:val="center"/>
            <w:hideMark/>
          </w:tcPr>
          <w:p w14:paraId="22EF9353" w14:textId="77777777" w:rsidR="007A3C3E" w:rsidRPr="007A3C3E" w:rsidRDefault="007A3C3E" w:rsidP="007A3C3E">
            <w:r w:rsidRPr="007A3C3E">
              <w:t>$925,000</w:t>
            </w:r>
          </w:p>
        </w:tc>
        <w:tc>
          <w:tcPr>
            <w:tcW w:w="0" w:type="auto"/>
            <w:vAlign w:val="center"/>
            <w:hideMark/>
          </w:tcPr>
          <w:p w14:paraId="5BF39FFB" w14:textId="77777777" w:rsidR="007A3C3E" w:rsidRPr="007A3C3E" w:rsidRDefault="007A3C3E" w:rsidP="007A3C3E">
            <w:r w:rsidRPr="007A3C3E">
              <w:t>$1,200,000</w:t>
            </w:r>
          </w:p>
        </w:tc>
      </w:tr>
      <w:tr w:rsidR="007A3C3E" w:rsidRPr="007A3C3E" w14:paraId="5EFD4DFD" w14:textId="77777777">
        <w:trPr>
          <w:tblCellSpacing w:w="15" w:type="dxa"/>
        </w:trPr>
        <w:tc>
          <w:tcPr>
            <w:tcW w:w="0" w:type="auto"/>
            <w:vAlign w:val="center"/>
            <w:hideMark/>
          </w:tcPr>
          <w:p w14:paraId="2CE82520" w14:textId="77777777" w:rsidR="007A3C3E" w:rsidRPr="007A3C3E" w:rsidRDefault="007A3C3E" w:rsidP="007A3C3E">
            <w:r w:rsidRPr="007A3C3E">
              <w:t>User Support, Training, and Documentation</w:t>
            </w:r>
          </w:p>
        </w:tc>
        <w:tc>
          <w:tcPr>
            <w:tcW w:w="0" w:type="auto"/>
            <w:vAlign w:val="center"/>
            <w:hideMark/>
          </w:tcPr>
          <w:p w14:paraId="60E50288" w14:textId="77777777" w:rsidR="007A3C3E" w:rsidRPr="007A3C3E" w:rsidRDefault="007A3C3E" w:rsidP="007A3C3E">
            <w:r w:rsidRPr="007A3C3E">
              <w:t>$525,000</w:t>
            </w:r>
          </w:p>
        </w:tc>
        <w:tc>
          <w:tcPr>
            <w:tcW w:w="0" w:type="auto"/>
            <w:vAlign w:val="center"/>
            <w:hideMark/>
          </w:tcPr>
          <w:p w14:paraId="4C9F074D" w14:textId="77777777" w:rsidR="007A3C3E" w:rsidRPr="007A3C3E" w:rsidRDefault="007A3C3E" w:rsidP="007A3C3E">
            <w:r w:rsidRPr="007A3C3E">
              <w:t>$400,000</w:t>
            </w:r>
          </w:p>
        </w:tc>
        <w:tc>
          <w:tcPr>
            <w:tcW w:w="0" w:type="auto"/>
            <w:vAlign w:val="center"/>
            <w:hideMark/>
          </w:tcPr>
          <w:p w14:paraId="0BE80465" w14:textId="77777777" w:rsidR="007A3C3E" w:rsidRPr="007A3C3E" w:rsidRDefault="007A3C3E" w:rsidP="007A3C3E">
            <w:r w:rsidRPr="007A3C3E">
              <w:t>$925,000</w:t>
            </w:r>
          </w:p>
        </w:tc>
      </w:tr>
      <w:tr w:rsidR="007A3C3E" w:rsidRPr="007A3C3E" w14:paraId="10EA870B" w14:textId="77777777">
        <w:trPr>
          <w:tblCellSpacing w:w="15" w:type="dxa"/>
        </w:trPr>
        <w:tc>
          <w:tcPr>
            <w:tcW w:w="0" w:type="auto"/>
            <w:vAlign w:val="center"/>
            <w:hideMark/>
          </w:tcPr>
          <w:p w14:paraId="36A5BEB3" w14:textId="77777777" w:rsidR="007A3C3E" w:rsidRPr="007A3C3E" w:rsidRDefault="007A3C3E" w:rsidP="007A3C3E">
            <w:r w:rsidRPr="007A3C3E">
              <w:t>Evaluation, Performance Measurement, and Dissemination</w:t>
            </w:r>
          </w:p>
        </w:tc>
        <w:tc>
          <w:tcPr>
            <w:tcW w:w="0" w:type="auto"/>
            <w:vAlign w:val="center"/>
            <w:hideMark/>
          </w:tcPr>
          <w:p w14:paraId="0F91A010" w14:textId="77777777" w:rsidR="007A3C3E" w:rsidRPr="007A3C3E" w:rsidRDefault="007A3C3E" w:rsidP="007A3C3E">
            <w:r w:rsidRPr="007A3C3E">
              <w:t>$225,000</w:t>
            </w:r>
          </w:p>
        </w:tc>
        <w:tc>
          <w:tcPr>
            <w:tcW w:w="0" w:type="auto"/>
            <w:vAlign w:val="center"/>
            <w:hideMark/>
          </w:tcPr>
          <w:p w14:paraId="60B640C8" w14:textId="77777777" w:rsidR="007A3C3E" w:rsidRPr="007A3C3E" w:rsidRDefault="007A3C3E" w:rsidP="007A3C3E">
            <w:r w:rsidRPr="007A3C3E">
              <w:t>$225,000</w:t>
            </w:r>
          </w:p>
        </w:tc>
        <w:tc>
          <w:tcPr>
            <w:tcW w:w="0" w:type="auto"/>
            <w:vAlign w:val="center"/>
            <w:hideMark/>
          </w:tcPr>
          <w:p w14:paraId="4AE0109F" w14:textId="77777777" w:rsidR="007A3C3E" w:rsidRPr="007A3C3E" w:rsidRDefault="007A3C3E" w:rsidP="007A3C3E">
            <w:r w:rsidRPr="007A3C3E">
              <w:t>$450,000</w:t>
            </w:r>
          </w:p>
        </w:tc>
      </w:tr>
      <w:tr w:rsidR="007A3C3E" w:rsidRPr="007A3C3E" w14:paraId="55B042C9" w14:textId="77777777">
        <w:trPr>
          <w:tblCellSpacing w:w="15" w:type="dxa"/>
        </w:trPr>
        <w:tc>
          <w:tcPr>
            <w:tcW w:w="0" w:type="auto"/>
            <w:vAlign w:val="center"/>
            <w:hideMark/>
          </w:tcPr>
          <w:p w14:paraId="104B7E53" w14:textId="77777777" w:rsidR="007A3C3E" w:rsidRPr="007A3C3E" w:rsidRDefault="007A3C3E" w:rsidP="007A3C3E">
            <w:r w:rsidRPr="007A3C3E">
              <w:t>Sustainability, Renewal Readiness, and Closeout</w:t>
            </w:r>
          </w:p>
        </w:tc>
        <w:tc>
          <w:tcPr>
            <w:tcW w:w="0" w:type="auto"/>
            <w:vAlign w:val="center"/>
            <w:hideMark/>
          </w:tcPr>
          <w:p w14:paraId="3B39FB03" w14:textId="77777777" w:rsidR="007A3C3E" w:rsidRPr="007A3C3E" w:rsidRDefault="007A3C3E" w:rsidP="007A3C3E">
            <w:r w:rsidRPr="007A3C3E">
              <w:t>$175,000</w:t>
            </w:r>
          </w:p>
        </w:tc>
        <w:tc>
          <w:tcPr>
            <w:tcW w:w="0" w:type="auto"/>
            <w:vAlign w:val="center"/>
            <w:hideMark/>
          </w:tcPr>
          <w:p w14:paraId="3A5F7928" w14:textId="77777777" w:rsidR="007A3C3E" w:rsidRPr="007A3C3E" w:rsidRDefault="007A3C3E" w:rsidP="007A3C3E">
            <w:r w:rsidRPr="007A3C3E">
              <w:t>$0</w:t>
            </w:r>
          </w:p>
        </w:tc>
        <w:tc>
          <w:tcPr>
            <w:tcW w:w="0" w:type="auto"/>
            <w:vAlign w:val="center"/>
            <w:hideMark/>
          </w:tcPr>
          <w:p w14:paraId="7BB7CFEA" w14:textId="77777777" w:rsidR="007A3C3E" w:rsidRPr="007A3C3E" w:rsidRDefault="007A3C3E" w:rsidP="007A3C3E">
            <w:r w:rsidRPr="007A3C3E">
              <w:t>$175,000</w:t>
            </w:r>
          </w:p>
        </w:tc>
      </w:tr>
      <w:tr w:rsidR="007A3C3E" w:rsidRPr="007A3C3E" w14:paraId="56BFE2C7" w14:textId="77777777">
        <w:trPr>
          <w:tblCellSpacing w:w="15" w:type="dxa"/>
        </w:trPr>
        <w:tc>
          <w:tcPr>
            <w:tcW w:w="0" w:type="auto"/>
            <w:vAlign w:val="center"/>
            <w:hideMark/>
          </w:tcPr>
          <w:p w14:paraId="65FEFFBF" w14:textId="77777777" w:rsidR="007A3C3E" w:rsidRPr="007A3C3E" w:rsidRDefault="007A3C3E" w:rsidP="007A3C3E">
            <w:r w:rsidRPr="007A3C3E">
              <w:rPr>
                <w:b/>
                <w:bCs/>
              </w:rPr>
              <w:t>Total</w:t>
            </w:r>
          </w:p>
        </w:tc>
        <w:tc>
          <w:tcPr>
            <w:tcW w:w="0" w:type="auto"/>
            <w:vAlign w:val="center"/>
            <w:hideMark/>
          </w:tcPr>
          <w:p w14:paraId="02A61D5B" w14:textId="77777777" w:rsidR="007A3C3E" w:rsidRPr="007A3C3E" w:rsidRDefault="007A3C3E" w:rsidP="007A3C3E">
            <w:r w:rsidRPr="007A3C3E">
              <w:rPr>
                <w:b/>
                <w:bCs/>
              </w:rPr>
              <w:t>$4,800,000</w:t>
            </w:r>
          </w:p>
        </w:tc>
        <w:tc>
          <w:tcPr>
            <w:tcW w:w="0" w:type="auto"/>
            <w:vAlign w:val="center"/>
            <w:hideMark/>
          </w:tcPr>
          <w:p w14:paraId="39C0CCCE" w14:textId="77777777" w:rsidR="007A3C3E" w:rsidRPr="007A3C3E" w:rsidRDefault="007A3C3E" w:rsidP="007A3C3E">
            <w:r w:rsidRPr="007A3C3E">
              <w:rPr>
                <w:b/>
                <w:bCs/>
              </w:rPr>
              <w:t>$3,950,000</w:t>
            </w:r>
          </w:p>
        </w:tc>
        <w:tc>
          <w:tcPr>
            <w:tcW w:w="0" w:type="auto"/>
            <w:vAlign w:val="center"/>
            <w:hideMark/>
          </w:tcPr>
          <w:p w14:paraId="347DBCC7" w14:textId="77777777" w:rsidR="007A3C3E" w:rsidRPr="007A3C3E" w:rsidRDefault="007A3C3E" w:rsidP="007A3C3E">
            <w:r w:rsidRPr="007A3C3E">
              <w:rPr>
                <w:b/>
                <w:bCs/>
              </w:rPr>
              <w:t>$8,750,000</w:t>
            </w:r>
          </w:p>
        </w:tc>
      </w:tr>
    </w:tbl>
    <w:p w14:paraId="1A6BC6E2" w14:textId="77777777" w:rsidR="007A3C3E" w:rsidRPr="007A3C3E" w:rsidRDefault="007A3C3E" w:rsidP="007A3C3E">
      <w:pPr>
        <w:rPr>
          <w:b/>
          <w:bCs/>
        </w:rPr>
      </w:pPr>
      <w:r w:rsidRPr="007A3C3E">
        <w:rPr>
          <w:b/>
          <w:bCs/>
        </w:rPr>
        <w:t>4. Phase-Based Cost Estimate</w:t>
      </w:r>
    </w:p>
    <w:p w14:paraId="33B996BB" w14:textId="77777777" w:rsidR="007A3C3E" w:rsidRPr="007A3C3E" w:rsidRDefault="007A3C3E" w:rsidP="007A3C3E">
      <w:pPr>
        <w:rPr>
          <w:b/>
          <w:bCs/>
        </w:rPr>
      </w:pPr>
      <w:r w:rsidRPr="007A3C3E">
        <w:rPr>
          <w:b/>
          <w:bCs/>
        </w:rPr>
        <w:t>Year 1: Transition to Operations</w:t>
      </w:r>
    </w:p>
    <w:p w14:paraId="71D85A79" w14:textId="77777777" w:rsidR="007A3C3E" w:rsidRPr="007A3C3E" w:rsidRDefault="007A3C3E" w:rsidP="007A3C3E">
      <w:r w:rsidRPr="007A3C3E">
        <w:t>Year 1 costs support production hardening, governance finalization, infrastructure deployment, early-access partner onboarding, initial data pipeline implementation, security configuration, help desk launch, training materials, and operational readiness review. AAIP costs in Year 1 are higher than later years because the first year requires award launch, administrative setup, governance structure development, procurement, contract setup, advisory committee formation, infrastructure service initiation, and early user engagement. SGDI Year 1 costs support technical architecture, core platform configuration, data connector development, metadata setup, dashboard prototypes, AI/MCP service operationalization, and early-access technical onboarding.</w:t>
      </w:r>
    </w:p>
    <w:p w14:paraId="1413CC4B" w14:textId="77777777" w:rsidR="007A3C3E" w:rsidRPr="007A3C3E" w:rsidRDefault="007A3C3E" w:rsidP="007A3C3E">
      <w:r w:rsidRPr="007A3C3E">
        <w:t>By the end of Year 1, the project will support continuous operations for initial users, including authentication, data ingestion, metadata registration, role-based access, dashboards, governed analytic workspaces, AI-assisted reporting, help desk support, monitoring, backup, and performance reporting.</w:t>
      </w:r>
    </w:p>
    <w:p w14:paraId="5691284B" w14:textId="77777777" w:rsidR="007A3C3E" w:rsidRPr="007A3C3E" w:rsidRDefault="007A3C3E" w:rsidP="007A3C3E">
      <w:pPr>
        <w:rPr>
          <w:b/>
          <w:bCs/>
        </w:rPr>
      </w:pPr>
      <w:r w:rsidRPr="007A3C3E">
        <w:rPr>
          <w:b/>
          <w:bCs/>
        </w:rPr>
        <w:t>Year 2: National Scale-Up</w:t>
      </w:r>
    </w:p>
    <w:p w14:paraId="19C3B74A" w14:textId="77777777" w:rsidR="007A3C3E" w:rsidRPr="007A3C3E" w:rsidRDefault="007A3C3E" w:rsidP="007A3C3E">
      <w:r w:rsidRPr="007A3C3E">
        <w:t xml:space="preserve">Year 2 costs support expansion from initial operations to a broader national user community. AAIP costs support partner recruitment, governance operations, training coordination, data steward engagement, advisory review, user communications, compliance management, and continued infrastructure contracts. SGDI costs </w:t>
      </w:r>
      <w:proofErr w:type="gramStart"/>
      <w:r w:rsidRPr="007A3C3E">
        <w:t>increase</w:t>
      </w:r>
      <w:proofErr w:type="gramEnd"/>
      <w:r w:rsidRPr="007A3C3E">
        <w:t xml:space="preserve"> slightly in Year 2 because the project will add data sources, expand reusable connectors, support additional onboarding cohorts, improve dashboards, mature the AI/MCP service layer, and increase user technical assistance.</w:t>
      </w:r>
    </w:p>
    <w:p w14:paraId="045B56E5" w14:textId="77777777" w:rsidR="007A3C3E" w:rsidRPr="007A3C3E" w:rsidRDefault="007A3C3E" w:rsidP="007A3C3E">
      <w:r w:rsidRPr="007A3C3E">
        <w:t xml:space="preserve">Year 2 will emphasize additional connected data sources, expanded metadata coverage, increased user accounts, improved documentation, support workflows, and routine performance reporting. The project </w:t>
      </w:r>
      <w:r w:rsidRPr="007A3C3E">
        <w:lastRenderedPageBreak/>
        <w:t>will also refine cost monitoring, cloud utilization, security procedures, and service quality based on Year 1 operational data.</w:t>
      </w:r>
    </w:p>
    <w:p w14:paraId="3F214DD5" w14:textId="77777777" w:rsidR="007A3C3E" w:rsidRPr="007A3C3E" w:rsidRDefault="007A3C3E" w:rsidP="007A3C3E">
      <w:pPr>
        <w:rPr>
          <w:b/>
          <w:bCs/>
        </w:rPr>
      </w:pPr>
      <w:r w:rsidRPr="007A3C3E">
        <w:rPr>
          <w:b/>
          <w:bCs/>
        </w:rPr>
        <w:t>Year 3: Mature Operations and Sustainability Planning</w:t>
      </w:r>
    </w:p>
    <w:p w14:paraId="7BB3B885" w14:textId="77777777" w:rsidR="007A3C3E" w:rsidRPr="007A3C3E" w:rsidRDefault="007A3C3E" w:rsidP="007A3C3E">
      <w:r w:rsidRPr="007A3C3E">
        <w:t>Year 3 costs support stable operations, performance optimization, sustainability planning, renewal readiness, final evaluation, dissemination, and transition planning. AAIP costs decrease relative to Year 1 as startup and procurement activities stabilize, while maintaining sufficient support for lead-recipient responsibilities, governance, training, infrastructure contracts, reporting, and sustainability work. SGDI Year 3 costs support ongoing technical operations, optimization, documentation, evaluation, user support, and preparation for potential renewal or continuation.</w:t>
      </w:r>
    </w:p>
    <w:p w14:paraId="38BAC5D8" w14:textId="77777777" w:rsidR="007A3C3E" w:rsidRPr="007A3C3E" w:rsidRDefault="007A3C3E" w:rsidP="007A3C3E">
      <w:r w:rsidRPr="007A3C3E">
        <w:t>Year 3 will produce mature operational documentation, updated governance procedures, public project products, performance summaries, sustainability options, and final reporting materials.</w:t>
      </w:r>
    </w:p>
    <w:p w14:paraId="7044CF4D" w14:textId="77777777" w:rsidR="007A3C3E" w:rsidRPr="007A3C3E" w:rsidRDefault="007A3C3E" w:rsidP="007A3C3E">
      <w:pPr>
        <w:rPr>
          <w:b/>
          <w:bCs/>
        </w:rPr>
      </w:pPr>
      <w:r w:rsidRPr="007A3C3E">
        <w:rPr>
          <w:b/>
          <w:bCs/>
        </w:rPr>
        <w:t>5. Basis of Estimate by Major Cost Area</w:t>
      </w:r>
    </w:p>
    <w:p w14:paraId="1AD1A307" w14:textId="77777777" w:rsidR="007A3C3E" w:rsidRPr="007A3C3E" w:rsidRDefault="007A3C3E" w:rsidP="007A3C3E">
      <w:pPr>
        <w:rPr>
          <w:b/>
          <w:bCs/>
        </w:rPr>
      </w:pPr>
      <w:r w:rsidRPr="007A3C3E">
        <w:rPr>
          <w:b/>
          <w:bCs/>
        </w:rPr>
        <w:t>Personnel</w:t>
      </w:r>
    </w:p>
    <w:p w14:paraId="7768064D" w14:textId="77777777" w:rsidR="007A3C3E" w:rsidRPr="007A3C3E" w:rsidRDefault="007A3C3E" w:rsidP="007A3C3E">
      <w:r w:rsidRPr="007A3C3E">
        <w:t>Personnel is the largest cost category because the project is an operational cyberinfrastructure service requiring sustained leadership, management, technical, governance, support, and evaluation capacity. AAIP personnel costs support the prime-recipient functions required to manage a national cooperative agreement, including project direction, grants administration, finance coordination, procurement, subaward monitoring, compliance, governance coordination, user engagement, communications, training coordination, and reporting. SGDI personnel costs support the technical functions needed to deploy and operate the IDC, including data engineering, database architecture, data science, AI/MCP service development, semantic modeling, dashboard development, technical documentation, evaluation, and user technical support.</w:t>
      </w:r>
    </w:p>
    <w:p w14:paraId="6CC6B21A" w14:textId="77777777" w:rsidR="007A3C3E" w:rsidRPr="007A3C3E" w:rsidRDefault="007A3C3E" w:rsidP="007A3C3E">
      <w:r w:rsidRPr="007A3C3E">
        <w:t>Personnel estimates are based on anticipated project roles, level of effort required by phase, and the need to reach full operations by the end of the first award year. Final salaries, fringe benefits, and person-months will be confirmed before submission using each organization’s established compensation policies.</w:t>
      </w:r>
    </w:p>
    <w:p w14:paraId="1DAB92A6" w14:textId="77777777" w:rsidR="007A3C3E" w:rsidRPr="007A3C3E" w:rsidRDefault="007A3C3E" w:rsidP="007A3C3E">
      <w:pPr>
        <w:rPr>
          <w:b/>
          <w:bCs/>
        </w:rPr>
      </w:pPr>
      <w:r w:rsidRPr="007A3C3E">
        <w:rPr>
          <w:b/>
          <w:bCs/>
        </w:rPr>
        <w:t>Fringe Benefits</w:t>
      </w:r>
    </w:p>
    <w:p w14:paraId="5A259FE1" w14:textId="77777777" w:rsidR="007A3C3E" w:rsidRPr="007A3C3E" w:rsidRDefault="007A3C3E" w:rsidP="007A3C3E">
      <w:r w:rsidRPr="007A3C3E">
        <w:t>Fringe benefits are estimated using organizational fringe benefit assumptions and will be finalized using AAIP and SGDI’s applicable policies. Fringe benefits may include payroll taxes, health insurance, retirement, leave, and other employee benefits consistent with organizational practice.</w:t>
      </w:r>
    </w:p>
    <w:p w14:paraId="70734FB4" w14:textId="77777777" w:rsidR="007A3C3E" w:rsidRPr="007A3C3E" w:rsidRDefault="007A3C3E" w:rsidP="007A3C3E">
      <w:pPr>
        <w:rPr>
          <w:b/>
          <w:bCs/>
        </w:rPr>
      </w:pPr>
      <w:r w:rsidRPr="007A3C3E">
        <w:rPr>
          <w:b/>
          <w:bCs/>
        </w:rPr>
        <w:t>Indirect Costs</w:t>
      </w:r>
    </w:p>
    <w:p w14:paraId="12C5ABD9" w14:textId="77777777" w:rsidR="007A3C3E" w:rsidRPr="007A3C3E" w:rsidRDefault="007A3C3E" w:rsidP="007A3C3E">
      <w:r w:rsidRPr="007A3C3E">
        <w:t>AAIP indirect costs are estimated using a provisional federally negotiated indirect cost rate of approximately 33.1 percent, subject to confirmation by AAIP’s official rate agreement. The final budget will apply the approved rate to the allowable base specified in AAIP’s rate agreement and NSF requirements. SGDI indirect or overhead costs will be included in the SGDI subaward budget according to SGDI’s final budget and AAIP’s subrecipient review procedures.</w:t>
      </w:r>
    </w:p>
    <w:p w14:paraId="445E5642" w14:textId="77777777" w:rsidR="007A3C3E" w:rsidRPr="007A3C3E" w:rsidRDefault="007A3C3E" w:rsidP="007A3C3E">
      <w:pPr>
        <w:rPr>
          <w:b/>
          <w:bCs/>
        </w:rPr>
      </w:pPr>
      <w:r w:rsidRPr="007A3C3E">
        <w:rPr>
          <w:b/>
          <w:bCs/>
        </w:rPr>
        <w:lastRenderedPageBreak/>
        <w:t>Cloud, Computer Services, and Technical Infrastructure</w:t>
      </w:r>
    </w:p>
    <w:p w14:paraId="7220052E" w14:textId="77777777" w:rsidR="007A3C3E" w:rsidRPr="007A3C3E" w:rsidRDefault="007A3C3E" w:rsidP="007A3C3E">
      <w:r w:rsidRPr="007A3C3E">
        <w:t>The project will use a cloud-first infrastructure strategy to support rapid deployment, secure national access, scalability, monitoring, logging, backup, and operational reliability. Estimated costs include cloud compute, secure operational storage, database services, data transfer, identity and access management, logging, monitoring, backup, dashboard hosting, analytic workspaces, API services, and AI-enabled service environments.</w:t>
      </w:r>
    </w:p>
    <w:p w14:paraId="5173A26E" w14:textId="77777777" w:rsidR="007A3C3E" w:rsidRPr="007A3C3E" w:rsidRDefault="007A3C3E" w:rsidP="007A3C3E">
      <w:r w:rsidRPr="007A3C3E">
        <w:t>Major production infrastructure contracts will be held by AAIP as lead organization. SGDI will provide technical configuration, administration support, and operational implementation through the subaward. This approach establishes AAIP as the infrastructure owner and national operator while assigning technical implementation to SGDI.</w:t>
      </w:r>
    </w:p>
    <w:p w14:paraId="5C2B4561" w14:textId="77777777" w:rsidR="007A3C3E" w:rsidRPr="007A3C3E" w:rsidRDefault="007A3C3E" w:rsidP="007A3C3E">
      <w:r w:rsidRPr="007A3C3E">
        <w:t>The estimate assumes that cloud resource consumption will increase during Year 2 as the number of users, connected data sources, dashboards, and analytic workflows grows, then stabilize during Year 3 as usage patterns become more predictable. The project will monitor cloud utilization and adjust services to control costs while maintaining reliability.</w:t>
      </w:r>
    </w:p>
    <w:p w14:paraId="031177E7" w14:textId="77777777" w:rsidR="007A3C3E" w:rsidRPr="007A3C3E" w:rsidRDefault="007A3C3E" w:rsidP="007A3C3E">
      <w:r w:rsidRPr="007A3C3E">
        <w:t>The project does not anticipate a large on-premises server build. Limited equipment may be requested only if needed for secure administration, testing, demonstrations, training, backup, or hybrid operations. Any equipment included in the final budget will be itemized with specifications, purpose, and basis of cost.</w:t>
      </w:r>
    </w:p>
    <w:p w14:paraId="50318E57" w14:textId="77777777" w:rsidR="007A3C3E" w:rsidRPr="007A3C3E" w:rsidRDefault="007A3C3E" w:rsidP="007A3C3E">
      <w:pPr>
        <w:rPr>
          <w:b/>
          <w:bCs/>
        </w:rPr>
      </w:pPr>
      <w:r w:rsidRPr="007A3C3E">
        <w:rPr>
          <w:b/>
          <w:bCs/>
        </w:rPr>
        <w:t>Software, Licenses, and Managed Services</w:t>
      </w:r>
    </w:p>
    <w:p w14:paraId="182E8D02" w14:textId="77777777" w:rsidR="007A3C3E" w:rsidRPr="007A3C3E" w:rsidRDefault="007A3C3E" w:rsidP="007A3C3E">
      <w:r w:rsidRPr="007A3C3E">
        <w:t>Software and managed service costs may include ticketing systems, documentation platforms, security services, identity management, data integration tools, dashboarding services, code repositories, vulnerability monitoring, accessibility tools, and other operational systems required to provide national user support. Open-source tools will be used where feasible. Commercial services will be used when they improve security, reliability, accessibility, supportability, or cost effectiveness.</w:t>
      </w:r>
    </w:p>
    <w:p w14:paraId="4CE43156" w14:textId="77777777" w:rsidR="007A3C3E" w:rsidRPr="007A3C3E" w:rsidRDefault="007A3C3E" w:rsidP="007A3C3E">
      <w:r w:rsidRPr="007A3C3E">
        <w:t>Software developed under the project will be released under an identified open-source license where appropriate and consistent with security and governance requirements.</w:t>
      </w:r>
    </w:p>
    <w:p w14:paraId="69457F24" w14:textId="77777777" w:rsidR="007A3C3E" w:rsidRPr="007A3C3E" w:rsidRDefault="007A3C3E" w:rsidP="007A3C3E">
      <w:pPr>
        <w:rPr>
          <w:b/>
          <w:bCs/>
        </w:rPr>
      </w:pPr>
      <w:r w:rsidRPr="007A3C3E">
        <w:rPr>
          <w:b/>
          <w:bCs/>
        </w:rPr>
        <w:t>Consultants and Advisors</w:t>
      </w:r>
    </w:p>
    <w:p w14:paraId="2A2B6C2F" w14:textId="77777777" w:rsidR="007A3C3E" w:rsidRPr="007A3C3E" w:rsidRDefault="007A3C3E" w:rsidP="007A3C3E">
      <w:r w:rsidRPr="007A3C3E">
        <w:t>Consultant costs support specialized expertise not otherwise available within the core project team. Consultants may provide review or guidance in Indigenous data sovereignty, cybersecurity, privacy, AI governance, research ethics, nonprofit compliance, data use agreements, cloud architecture, evaluation, or related areas. Consultant estimates are based on anticipated level of effort, documented rates, and the specialized expertise required.</w:t>
      </w:r>
    </w:p>
    <w:p w14:paraId="5EE21453" w14:textId="77777777" w:rsidR="007A3C3E" w:rsidRPr="007A3C3E" w:rsidRDefault="007A3C3E" w:rsidP="007A3C3E">
      <w:r w:rsidRPr="007A3C3E">
        <w:t>Advisory-related costs support structured input from experts and community representatives who will help guide governance, user engagement, technical direction, risk management, and sustainability.</w:t>
      </w:r>
    </w:p>
    <w:p w14:paraId="22329869" w14:textId="77777777" w:rsidR="007A3C3E" w:rsidRPr="007A3C3E" w:rsidRDefault="007A3C3E" w:rsidP="007A3C3E">
      <w:pPr>
        <w:rPr>
          <w:b/>
          <w:bCs/>
        </w:rPr>
      </w:pPr>
      <w:r w:rsidRPr="007A3C3E">
        <w:rPr>
          <w:b/>
          <w:bCs/>
        </w:rPr>
        <w:t>Travel</w:t>
      </w:r>
    </w:p>
    <w:p w14:paraId="0A0DA8F9" w14:textId="77777777" w:rsidR="007A3C3E" w:rsidRPr="007A3C3E" w:rsidRDefault="007A3C3E" w:rsidP="007A3C3E">
      <w:r w:rsidRPr="007A3C3E">
        <w:lastRenderedPageBreak/>
        <w:t>Travel costs support required participation in NSF PI meetings or major cyberinfrastructure conferences, partner onboarding, governance meetings, training activities, user engagement, technical coordination, and dissemination. Travel estimates include airfare, lodging, ground transportation, per diem, and registration where applicable. Travel will follow organizational travel policies and applicable federal requirements.</w:t>
      </w:r>
    </w:p>
    <w:p w14:paraId="49180E1B" w14:textId="77777777" w:rsidR="007A3C3E" w:rsidRPr="007A3C3E" w:rsidRDefault="007A3C3E" w:rsidP="007A3C3E">
      <w:r w:rsidRPr="007A3C3E">
        <w:t>Travel is necessary because the IDC will serve a geographically distributed national user community and will require engagement with Native-serving organizations, data stewards, advisors, cyberinfrastructure partners, and research users.</w:t>
      </w:r>
    </w:p>
    <w:p w14:paraId="3AE1FDBF" w14:textId="77777777" w:rsidR="007A3C3E" w:rsidRPr="007A3C3E" w:rsidRDefault="007A3C3E" w:rsidP="007A3C3E">
      <w:pPr>
        <w:rPr>
          <w:b/>
          <w:bCs/>
        </w:rPr>
      </w:pPr>
      <w:r w:rsidRPr="007A3C3E">
        <w:rPr>
          <w:b/>
          <w:bCs/>
        </w:rPr>
        <w:t>Participant Support</w:t>
      </w:r>
    </w:p>
    <w:p w14:paraId="0AD05D5C" w14:textId="77777777" w:rsidR="007A3C3E" w:rsidRPr="007A3C3E" w:rsidRDefault="007A3C3E" w:rsidP="007A3C3E">
      <w:r w:rsidRPr="007A3C3E">
        <w:t>Participant support costs may support eligible participants in IDC training, onboarding, user engagement, and community learning activities. These funds may support participant travel, lodging, per diem, registration, or stipends where allowable and necessary to broaden participation among Tribal Colleges and Universities, Native-serving organizations, Native students, data stewards, and early-career researchers. Participant support will not be used for AAIP, SGDI, or project staff.</w:t>
      </w:r>
    </w:p>
    <w:p w14:paraId="769A4525" w14:textId="77777777" w:rsidR="007A3C3E" w:rsidRPr="007A3C3E" w:rsidRDefault="007A3C3E" w:rsidP="007A3C3E">
      <w:pPr>
        <w:rPr>
          <w:b/>
          <w:bCs/>
        </w:rPr>
      </w:pPr>
      <w:r w:rsidRPr="007A3C3E">
        <w:rPr>
          <w:b/>
          <w:bCs/>
        </w:rPr>
        <w:t>Publication, Documentation, and Dissemination</w:t>
      </w:r>
    </w:p>
    <w:p w14:paraId="175B9B86" w14:textId="77777777" w:rsidR="007A3C3E" w:rsidRPr="007A3C3E" w:rsidRDefault="007A3C3E" w:rsidP="007A3C3E">
      <w:r w:rsidRPr="007A3C3E">
        <w:t>Documentation and dissemination costs support user guides, implementation guides, training materials, metadata templates, governance templates, data dictionary templates, public reports, open-source software documentation, accessibility remediation, and dissemination through cyberinfrastructure, data science, and Native-serving professional venues. These costs are necessary to make project products reusable, accessible, discoverable, and useful to the broader research and education community.</w:t>
      </w:r>
    </w:p>
    <w:p w14:paraId="306A198E" w14:textId="77777777" w:rsidR="007A3C3E" w:rsidRPr="007A3C3E" w:rsidRDefault="007A3C3E" w:rsidP="007A3C3E">
      <w:pPr>
        <w:rPr>
          <w:b/>
          <w:bCs/>
        </w:rPr>
      </w:pPr>
      <w:r w:rsidRPr="007A3C3E">
        <w:rPr>
          <w:b/>
          <w:bCs/>
        </w:rPr>
        <w:t>Subaward to SGDI</w:t>
      </w:r>
    </w:p>
    <w:p w14:paraId="71632710" w14:textId="77777777" w:rsidR="007A3C3E" w:rsidRPr="007A3C3E" w:rsidRDefault="007A3C3E" w:rsidP="007A3C3E">
      <w:r w:rsidRPr="007A3C3E">
        <w:t>The SGDI subaward is estimated at approximately $3,950,000 over three years. SGDI will provide the technical personnel and implementation capacity required to build, operate, support, and improve the IDC. SGDI’s scope includes data engineering, data source inventory, connector configuration, data validation, pipeline development, semantic data modeling, metadata documentation, dashboard development, AI-assisted reporting, API services, Model Context Protocol-compatible access services, evaluation, documentation, help desk support, partner technical onboarding, and training.</w:t>
      </w:r>
    </w:p>
    <w:p w14:paraId="03DE7FC9" w14:textId="77777777" w:rsidR="007A3C3E" w:rsidRPr="007A3C3E" w:rsidRDefault="007A3C3E" w:rsidP="007A3C3E">
      <w:r w:rsidRPr="007A3C3E">
        <w:t>SGDI will submit a separate subaward budget and budget justification. AAIP will review SGDI’s budget for allowability, reasonableness, allocability, and consistency with NSF requirements.</w:t>
      </w:r>
    </w:p>
    <w:p w14:paraId="09D8F5F3" w14:textId="77777777" w:rsidR="007A3C3E" w:rsidRPr="007A3C3E" w:rsidRDefault="007A3C3E" w:rsidP="007A3C3E">
      <w:pPr>
        <w:rPr>
          <w:b/>
          <w:bCs/>
        </w:rPr>
      </w:pPr>
      <w:r w:rsidRPr="007A3C3E">
        <w:rPr>
          <w:b/>
          <w:bCs/>
        </w:rPr>
        <w:t>6. Total Cost of Ownership Considerations</w:t>
      </w:r>
    </w:p>
    <w:p w14:paraId="63601A08" w14:textId="77777777" w:rsidR="007A3C3E" w:rsidRPr="007A3C3E" w:rsidRDefault="007A3C3E" w:rsidP="007A3C3E">
      <w:r w:rsidRPr="007A3C3E">
        <w:t>The total cost of ownership for the IDC includes labor, cloud services, software services, security controls, monitoring, documentation, governance operations, user support, training, evaluation, and sustainability planning. Because the project is cloud-first, separate costs for power, cooling, server room renovation, and major physical facilities are not anticipated. Any cloud resource consumption costs will be included in computer services and monitored throughout the award.</w:t>
      </w:r>
    </w:p>
    <w:p w14:paraId="78D38BEE" w14:textId="77777777" w:rsidR="007A3C3E" w:rsidRPr="007A3C3E" w:rsidRDefault="007A3C3E" w:rsidP="007A3C3E">
      <w:r w:rsidRPr="007A3C3E">
        <w:t xml:space="preserve">The project will not use NSF IDSS funds for permanent long-term hosting, archival storage, or curation of all partner research data beyond the operational needs of the award. For long-term preservation of </w:t>
      </w:r>
      <w:r w:rsidRPr="007A3C3E">
        <w:lastRenderedPageBreak/>
        <w:t>approved datasets or public products, the project will work with partners to identify appropriate repositories, institutional archives, Tribal repositories, federal repositories, or other sustainable mechanisms consistent with governance requirements.</w:t>
      </w:r>
    </w:p>
    <w:p w14:paraId="66AC204C" w14:textId="77777777" w:rsidR="007A3C3E" w:rsidRPr="007A3C3E" w:rsidRDefault="007A3C3E" w:rsidP="007A3C3E">
      <w:pPr>
        <w:rPr>
          <w:b/>
          <w:bCs/>
        </w:rPr>
      </w:pPr>
      <w:r w:rsidRPr="007A3C3E">
        <w:rPr>
          <w:b/>
          <w:bCs/>
        </w:rPr>
        <w:t>7. External Connections, Maintenance, and Service Agreements</w:t>
      </w:r>
    </w:p>
    <w:p w14:paraId="745FE0BE" w14:textId="77777777" w:rsidR="007A3C3E" w:rsidRPr="007A3C3E" w:rsidRDefault="007A3C3E" w:rsidP="007A3C3E">
      <w:r w:rsidRPr="007A3C3E">
        <w:t xml:space="preserve">The IDC will </w:t>
      </w:r>
      <w:proofErr w:type="gramStart"/>
      <w:r w:rsidRPr="007A3C3E">
        <w:t>connect to</w:t>
      </w:r>
      <w:proofErr w:type="gramEnd"/>
      <w:r w:rsidRPr="007A3C3E">
        <w:t xml:space="preserve"> external data sources, public datasets, partner systems, research tools, and cyberinfrastructure resources as appropriate to project objectives. Costs associated with these connections may include secure data transfer, API access, authentication services, managed database services, monitoring, logging, backup, and cloud networking.</w:t>
      </w:r>
    </w:p>
    <w:p w14:paraId="1D3DD0C3" w14:textId="77777777" w:rsidR="007A3C3E" w:rsidRPr="007A3C3E" w:rsidRDefault="007A3C3E" w:rsidP="007A3C3E">
      <w:r w:rsidRPr="007A3C3E">
        <w:t>Maintenance costs include software updates, security patches, system monitoring, documentation updates, help desk operations, access reviews, backup testing, and incident response preparation. Managed service agreements may be used for cloud hosting, security tooling, ticketing, documentation, identity management, or other operational functions. Service agreements will be reviewed to ensure appropriate data ownership, confidentiality, breach notification, export, termination, and security terms.</w:t>
      </w:r>
    </w:p>
    <w:p w14:paraId="677E8681" w14:textId="77777777" w:rsidR="007A3C3E" w:rsidRPr="007A3C3E" w:rsidRDefault="007A3C3E" w:rsidP="007A3C3E">
      <w:pPr>
        <w:rPr>
          <w:b/>
          <w:bCs/>
        </w:rPr>
      </w:pPr>
      <w:r w:rsidRPr="007A3C3E">
        <w:rPr>
          <w:b/>
          <w:bCs/>
        </w:rPr>
        <w:t>8. Unallowable and Excluded Costs</w:t>
      </w:r>
    </w:p>
    <w:p w14:paraId="7BFAEF82" w14:textId="77777777" w:rsidR="007A3C3E" w:rsidRPr="007A3C3E" w:rsidRDefault="007A3C3E" w:rsidP="007A3C3E">
      <w:r w:rsidRPr="007A3C3E">
        <w:t>The cost estimate does not include building renovation, laboratory renovation, permanent long-term archival hosting of all partner research data, individual research projects enabled by the infrastructure, entertainment, alcohol, general-purpose costs not allocable to the project, or voluntary committed cost sharing. Any organizational resources described elsewhere in the proposal will not be included as cost sharing.</w:t>
      </w:r>
    </w:p>
    <w:p w14:paraId="64C3369A" w14:textId="77777777" w:rsidR="007A3C3E" w:rsidRPr="007A3C3E" w:rsidRDefault="007A3C3E" w:rsidP="007A3C3E">
      <w:pPr>
        <w:rPr>
          <w:b/>
          <w:bCs/>
        </w:rPr>
      </w:pPr>
      <w:r w:rsidRPr="007A3C3E">
        <w:rPr>
          <w:b/>
          <w:bCs/>
        </w:rPr>
        <w:t>9. Budget Summary and Alignment with Project Scope</w:t>
      </w:r>
    </w:p>
    <w:p w14:paraId="30128CD6" w14:textId="77777777" w:rsidR="007A3C3E" w:rsidRPr="007A3C3E" w:rsidRDefault="007A3C3E" w:rsidP="007A3C3E">
      <w:r w:rsidRPr="007A3C3E">
        <w:t>The estimated $8,750,000 request supports the full three-year scope of the Indigenous Data Commons Category II transition project. The budget provides sufficient resources for Year 1 transition to operations, Year 2 national scale-up, and Year 3 mature operations and sustainability planning. AAIP’s budget supports lead-recipient control, governance, infrastructure contracts, community engagement, administration, and national operations. SGDI’s subaward supports the technical personnel and implementation capacity required to deliver the system.</w:t>
      </w:r>
    </w:p>
    <w:p w14:paraId="52B1ADE1" w14:textId="77777777" w:rsidR="007A3C3E" w:rsidRPr="007A3C3E" w:rsidRDefault="007A3C3E" w:rsidP="007A3C3E">
      <w:r w:rsidRPr="007A3C3E">
        <w:t>This cost estimate is aligned with the project’s required outcomes: national-scale operational data infrastructure, Indigenous-governed access, AI-ready data services, secure and reliable operations, user onboarding, technical support, performance measurement, and broad multidisciplinary research and education impact.</w:t>
      </w:r>
    </w:p>
    <w:p w14:paraId="2A19C3D8" w14:textId="77777777" w:rsidR="00E92F30" w:rsidRDefault="00E92F30"/>
    <w:sectPr w:rsidR="00E92F30" w:rsidSect="007A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F30"/>
    <w:rsid w:val="00732289"/>
    <w:rsid w:val="007A3C3E"/>
    <w:rsid w:val="00E92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E45A4D-1E62-4639-B712-7726AB042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F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F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F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F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F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F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F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F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F30"/>
    <w:rPr>
      <w:rFonts w:eastAsiaTheme="majorEastAsia" w:cstheme="majorBidi"/>
      <w:color w:val="272727" w:themeColor="text1" w:themeTint="D8"/>
    </w:rPr>
  </w:style>
  <w:style w:type="paragraph" w:styleId="Title">
    <w:name w:val="Title"/>
    <w:basedOn w:val="Normal"/>
    <w:next w:val="Normal"/>
    <w:link w:val="TitleChar"/>
    <w:uiPriority w:val="10"/>
    <w:qFormat/>
    <w:rsid w:val="00E92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F30"/>
    <w:pPr>
      <w:spacing w:before="160"/>
      <w:jc w:val="center"/>
    </w:pPr>
    <w:rPr>
      <w:i/>
      <w:iCs/>
      <w:color w:val="404040" w:themeColor="text1" w:themeTint="BF"/>
    </w:rPr>
  </w:style>
  <w:style w:type="character" w:customStyle="1" w:styleId="QuoteChar">
    <w:name w:val="Quote Char"/>
    <w:basedOn w:val="DefaultParagraphFont"/>
    <w:link w:val="Quote"/>
    <w:uiPriority w:val="29"/>
    <w:rsid w:val="00E92F30"/>
    <w:rPr>
      <w:i/>
      <w:iCs/>
      <w:color w:val="404040" w:themeColor="text1" w:themeTint="BF"/>
    </w:rPr>
  </w:style>
  <w:style w:type="paragraph" w:styleId="ListParagraph">
    <w:name w:val="List Paragraph"/>
    <w:basedOn w:val="Normal"/>
    <w:uiPriority w:val="34"/>
    <w:qFormat/>
    <w:rsid w:val="00E92F30"/>
    <w:pPr>
      <w:ind w:left="720"/>
      <w:contextualSpacing/>
    </w:pPr>
  </w:style>
  <w:style w:type="character" w:styleId="IntenseEmphasis">
    <w:name w:val="Intense Emphasis"/>
    <w:basedOn w:val="DefaultParagraphFont"/>
    <w:uiPriority w:val="21"/>
    <w:qFormat/>
    <w:rsid w:val="00E92F30"/>
    <w:rPr>
      <w:i/>
      <w:iCs/>
      <w:color w:val="0F4761" w:themeColor="accent1" w:themeShade="BF"/>
    </w:rPr>
  </w:style>
  <w:style w:type="paragraph" w:styleId="IntenseQuote">
    <w:name w:val="Intense Quote"/>
    <w:basedOn w:val="Normal"/>
    <w:next w:val="Normal"/>
    <w:link w:val="IntenseQuoteChar"/>
    <w:uiPriority w:val="30"/>
    <w:qFormat/>
    <w:rsid w:val="00E92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F30"/>
    <w:rPr>
      <w:i/>
      <w:iCs/>
      <w:color w:val="0F4761" w:themeColor="accent1" w:themeShade="BF"/>
    </w:rPr>
  </w:style>
  <w:style w:type="character" w:styleId="IntenseReference">
    <w:name w:val="Intense Reference"/>
    <w:basedOn w:val="DefaultParagraphFont"/>
    <w:uiPriority w:val="32"/>
    <w:qFormat/>
    <w:rsid w:val="00E92F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2166</Words>
  <Characters>14582</Characters>
  <Application>Microsoft Office Word</Application>
  <DocSecurity>0</DocSecurity>
  <Lines>189</Lines>
  <Paragraphs>49</Paragraphs>
  <ScaleCrop>false</ScaleCrop>
  <Company/>
  <LinksUpToDate>false</LinksUpToDate>
  <CharactersWithSpaces>16699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S</dc:creator>
  <cp:keywords/>
  <dc:description/>
  <cp:lastModifiedBy>Ricky S</cp:lastModifiedBy>
  <cp:revision>2</cp:revision>
  <dcterms:created xsi:type="dcterms:W3CDTF">2026-06-07T06:37:00Z</dcterms:created>
  <dcterms:modified xsi:type="dcterms:W3CDTF">2026-06-07T06:37:00Z</dcterms:modified>
</cp:coreProperties>
</file>