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54AC" w14:textId="77777777" w:rsidR="004D4D70" w:rsidRPr="004D4D70" w:rsidRDefault="004D4D70" w:rsidP="004D4D70">
      <w:pPr>
        <w:rPr>
          <w:b/>
          <w:bCs/>
        </w:rPr>
      </w:pPr>
      <w:r w:rsidRPr="004D4D70">
        <w:rPr>
          <w:b/>
          <w:bCs/>
        </w:rPr>
        <w:t>Facilities, Equipment, and Other Resources</w:t>
      </w:r>
    </w:p>
    <w:p w14:paraId="3A4821A0" w14:textId="77777777" w:rsidR="004D4D70" w:rsidRPr="004D4D70" w:rsidRDefault="004D4D70" w:rsidP="004D4D70">
      <w:r w:rsidRPr="004D4D70">
        <w:t>The American Association of Indian Physicians (AAIP) and St Germaine Data Innovations (SGDI) will provide the organizational, technical, personnel, and community resources necessary to carry out the Indigenous Data Commons project. These resources will support the transition of existing Tribal-serving data integration, analytics, reporting, governance, and technical assistance capabilities into a national-scale operational data infrastructure. The resources described here are directly relevant to the proposed work and will be made available to support the intellectual merit and broader impacts of the project. This section does not include quantifiable financial information.</w:t>
      </w:r>
    </w:p>
    <w:p w14:paraId="7C3EDA7A" w14:textId="77777777" w:rsidR="004D4D70" w:rsidRPr="004D4D70" w:rsidRDefault="004D4D70" w:rsidP="004D4D70">
      <w:r w:rsidRPr="004D4D70">
        <w:t>AAIP will provide the national organizational home, community engagement capacity, partner relationships, governance coordination, and administrative infrastructure for the project. As a national Native professional organization, AAIP is positioned to engage Native-serving health, education, workforce, research, and community partners across multiple regions. AAIP’s existing relationships with Native professionals, Tribal-serving organizations, academic partners, and community stakeholders will support user recruitment, early-access onboarding, advisory engagement, training dissemination, and long-term adoption of the Indigenous Data Commons. AAIP will also provide leadership for ensuring that the project remains responsive to Native community needs, culturally grounded in its engagement approach, and aligned with principles of Indigenous data sovereignty.</w:t>
      </w:r>
    </w:p>
    <w:p w14:paraId="125074FB" w14:textId="77777777" w:rsidR="004D4D70" w:rsidRPr="004D4D70" w:rsidRDefault="004D4D70" w:rsidP="004D4D70">
      <w:r w:rsidRPr="004D4D70">
        <w:t>AAIP’s administrative and leadership infrastructure will support award management, coordination with NSF, meeting facilitation, partner communication, reporting, governance documentation, and convening activities. AAIP will coordinate the project leadership team, support the external advisory structure, facilitate communication with participating organizations, and help ensure that data governance procedures reflect the expectations of Native-serving partners. AAIP will also support outreach and training through its existing communication channels, professional network, meeting structures, and relationships with Native-serving organizations.</w:t>
      </w:r>
    </w:p>
    <w:p w14:paraId="33A481FF" w14:textId="77777777" w:rsidR="004D4D70" w:rsidRPr="004D4D70" w:rsidRDefault="004D4D70" w:rsidP="004D4D70">
      <w:r w:rsidRPr="004D4D70">
        <w:t>SGDI will provide the technical operations, data integration, analytics, evaluation, and user support capacity required to design, deploy, and operate the Indigenous Data Commons. SGDI is a Tribal data firm with experience assisting Tribes and Tribal-serving nonprofits with data systems, evaluation, grant reporting, analytics, and data strategy. SGDI’s team brings expertise in statistics, biostatistics, data science, data engineering, database design, data visualization, evaluation, grant writing, health administration, and Tribal education administration. These capabilities directly support the project’s core operational functions, including data source inventory, connector configuration, data cleaning, pipeline development, metadata documentation, dashboard design, AI-assisted reporting, user training, and help desk support.</w:t>
      </w:r>
    </w:p>
    <w:p w14:paraId="491BF20C" w14:textId="77777777" w:rsidR="004D4D70" w:rsidRPr="004D4D70" w:rsidRDefault="004D4D70" w:rsidP="004D4D70">
      <w:r w:rsidRPr="004D4D70">
        <w:t xml:space="preserve">SGDI will serve as the project’s data integration and user support core. In this role, SGDI will help participating organizations identify relevant data sources, assess data readiness, map local data elements to shared data models, establish secure transfer workflows, validate data quality, configure dashboards and reports, and train users to work within the IDC environment. SGDI will also support development of the project’s semantic data layer, Model Context Protocol-compatible access services, analytic workspaces, reproducible workflows, and AI-assisted reporting tools. SGDI’s experience working </w:t>
      </w:r>
      <w:r w:rsidRPr="004D4D70">
        <w:lastRenderedPageBreak/>
        <w:t>directly with Native-serving organizations will help ensure that the IDC is technically rigorous while remaining practical for users with varied data capacity.</w:t>
      </w:r>
    </w:p>
    <w:p w14:paraId="50218B1A" w14:textId="77777777" w:rsidR="004D4D70" w:rsidRPr="004D4D70" w:rsidRDefault="004D4D70" w:rsidP="004D4D70">
      <w:r w:rsidRPr="004D4D70">
        <w:t xml:space="preserve">The project will use secure </w:t>
      </w:r>
      <w:proofErr w:type="gramStart"/>
      <w:r w:rsidRPr="004D4D70">
        <w:t>cloud</w:t>
      </w:r>
      <w:proofErr w:type="gramEnd"/>
      <w:r w:rsidRPr="004D4D70">
        <w:t xml:space="preserve">, </w:t>
      </w:r>
      <w:proofErr w:type="gramStart"/>
      <w:r w:rsidRPr="004D4D70">
        <w:t>hybrid</w:t>
      </w:r>
      <w:proofErr w:type="gramEnd"/>
      <w:r w:rsidRPr="004D4D70">
        <w:t>, or comparable managed infrastructure appropriate for national-scale data services. The final infrastructure environment will be selected and configured to support secure authentication, role-based access controls, encrypted data transfer, governed storage, metadata management, audit logging, monitoring, backup, disaster recovery, and controlled analytic workspaces. The infrastructure will support ingestion from structured spreadsheets, relational databases, public datasets, survey systems, program reporting tools, and API-enabled partner systems. It will also support dashboards, notebooks, metadata catalogs, governed query services, and AI-assisted analytic workflows.</w:t>
      </w:r>
    </w:p>
    <w:p w14:paraId="31E24EFF" w14:textId="77777777" w:rsidR="004D4D70" w:rsidRPr="004D4D70" w:rsidRDefault="004D4D70" w:rsidP="004D4D70">
      <w:r w:rsidRPr="004D4D70">
        <w:t>The IDC technical environment will emphasize interoperability and portability. Where feasible, the project will use open-source software, common file formats, documented APIs, version control, containerized workflows, and standards-based metadata practices. The project will maintain software repositories, documentation, validation routines, data connector templates, and reusable workflow examples to support transparency and reuse. Software developed under the project will be released under an identified open-source license when appropriate and consistent with security and governance requirements.</w:t>
      </w:r>
    </w:p>
    <w:p w14:paraId="51FD4B5A" w14:textId="77777777" w:rsidR="004D4D70" w:rsidRPr="004D4D70" w:rsidRDefault="004D4D70" w:rsidP="004D4D70">
      <w:r w:rsidRPr="004D4D70">
        <w:t>The project team will have access to software and technical tools needed for data engineering, analytics, evaluation, documentation, and project coordination. These may include database systems, secure file transfer tools, data transformation frameworks, statistical computing environments, dashboarding platforms, version control systems, project management tools, ticketing systems, documentation platforms, security monitoring tools, and AI-assisted development and analysis environments. These tools will be configured to support the project’s governance, security, and operational requirements.</w:t>
      </w:r>
    </w:p>
    <w:p w14:paraId="7D4096CE" w14:textId="77777777" w:rsidR="004D4D70" w:rsidRPr="004D4D70" w:rsidRDefault="004D4D70" w:rsidP="004D4D70">
      <w:r w:rsidRPr="004D4D70">
        <w:t>The project will also draw on partner-provided resources through participating organizations, collaborators, and advisors. Participating organizations will identify data stewards, program staff, technical contacts, and decision-makers who can support onboarding, governance review, data interpretation, validation, and user feedback. These partner roles are essential because the IDC is designed to preserve organizational and Tribal authority over data interpretation, access, and reuse. External advisors will contribute expertise in Indigenous data sovereignty, cyberinfrastructure, cybersecurity, research ethics, AI, public health, Tribal education, and community-based data governance. Their guidance will support project planning, risk management, user engagement, governance, and sustainability.</w:t>
      </w:r>
    </w:p>
    <w:p w14:paraId="31E6583E" w14:textId="77777777" w:rsidR="004D4D70" w:rsidRPr="004D4D70" w:rsidRDefault="004D4D70" w:rsidP="004D4D70">
      <w:r w:rsidRPr="004D4D70">
        <w:t>Training and user support resources will be provided through AAIP and SGDI’s combined capacity. The project will develop user guides, onboarding checklists, training modules, recorded tutorials, office hours, help desk procedures, implementation guides, and example workflows. These resources will help Native-serving organizations move from fragmented manual reporting practices toward stable, governed, and reusable data workflows. Training will be designed for a range of users, including program administrators, grant writers, evaluators, researchers, instructors, students, and technical staff.</w:t>
      </w:r>
    </w:p>
    <w:p w14:paraId="6CD422A7" w14:textId="77777777" w:rsidR="004D4D70" w:rsidRPr="004D4D70" w:rsidRDefault="004D4D70" w:rsidP="004D4D70">
      <w:r w:rsidRPr="004D4D70">
        <w:lastRenderedPageBreak/>
        <w:t>The project’s facilities and resources are well matched to the goals of NSF 26-509 Category II. AAIP provides the national network, organizational legitimacy, administrative home, and community engagement infrastructure needed for broad adoption. SGDI provides the specialized technical capacity needed to transition existing data and analytics practices into production-quality national cyberinfrastructure. Together, the organizations provide the combined community, technical, governance, and operational resources needed to develop, deploy, support, and sustain the Indigenous Data Commons as a national-scale data infrastructure service.</w:t>
      </w:r>
    </w:p>
    <w:p w14:paraId="35EE62B3" w14:textId="77777777" w:rsidR="00567409" w:rsidRDefault="00567409"/>
    <w:sectPr w:rsidR="00567409" w:rsidSect="004D4D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409"/>
    <w:rsid w:val="004D4D70"/>
    <w:rsid w:val="00567409"/>
    <w:rsid w:val="00732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86CDCF-6E83-42D3-B6E3-A76ED3CF9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409"/>
    <w:rPr>
      <w:rFonts w:eastAsiaTheme="majorEastAsia" w:cstheme="majorBidi"/>
      <w:color w:val="272727" w:themeColor="text1" w:themeTint="D8"/>
    </w:rPr>
  </w:style>
  <w:style w:type="paragraph" w:styleId="Title">
    <w:name w:val="Title"/>
    <w:basedOn w:val="Normal"/>
    <w:next w:val="Normal"/>
    <w:link w:val="TitleChar"/>
    <w:uiPriority w:val="10"/>
    <w:qFormat/>
    <w:rsid w:val="00567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409"/>
    <w:pPr>
      <w:spacing w:before="160"/>
      <w:jc w:val="center"/>
    </w:pPr>
    <w:rPr>
      <w:i/>
      <w:iCs/>
      <w:color w:val="404040" w:themeColor="text1" w:themeTint="BF"/>
    </w:rPr>
  </w:style>
  <w:style w:type="character" w:customStyle="1" w:styleId="QuoteChar">
    <w:name w:val="Quote Char"/>
    <w:basedOn w:val="DefaultParagraphFont"/>
    <w:link w:val="Quote"/>
    <w:uiPriority w:val="29"/>
    <w:rsid w:val="00567409"/>
    <w:rPr>
      <w:i/>
      <w:iCs/>
      <w:color w:val="404040" w:themeColor="text1" w:themeTint="BF"/>
    </w:rPr>
  </w:style>
  <w:style w:type="paragraph" w:styleId="ListParagraph">
    <w:name w:val="List Paragraph"/>
    <w:basedOn w:val="Normal"/>
    <w:uiPriority w:val="34"/>
    <w:qFormat/>
    <w:rsid w:val="00567409"/>
    <w:pPr>
      <w:ind w:left="720"/>
      <w:contextualSpacing/>
    </w:pPr>
  </w:style>
  <w:style w:type="character" w:styleId="IntenseEmphasis">
    <w:name w:val="Intense Emphasis"/>
    <w:basedOn w:val="DefaultParagraphFont"/>
    <w:uiPriority w:val="21"/>
    <w:qFormat/>
    <w:rsid w:val="00567409"/>
    <w:rPr>
      <w:i/>
      <w:iCs/>
      <w:color w:val="0F4761" w:themeColor="accent1" w:themeShade="BF"/>
    </w:rPr>
  </w:style>
  <w:style w:type="paragraph" w:styleId="IntenseQuote">
    <w:name w:val="Intense Quote"/>
    <w:basedOn w:val="Normal"/>
    <w:next w:val="Normal"/>
    <w:link w:val="IntenseQuoteChar"/>
    <w:uiPriority w:val="30"/>
    <w:qFormat/>
    <w:rsid w:val="00567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409"/>
    <w:rPr>
      <w:i/>
      <w:iCs/>
      <w:color w:val="0F4761" w:themeColor="accent1" w:themeShade="BF"/>
    </w:rPr>
  </w:style>
  <w:style w:type="character" w:styleId="IntenseReference">
    <w:name w:val="Intense Reference"/>
    <w:basedOn w:val="DefaultParagraphFont"/>
    <w:uiPriority w:val="32"/>
    <w:qFormat/>
    <w:rsid w:val="00567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986</Words>
  <Characters>6836</Characters>
  <Application>Microsoft Office Word</Application>
  <DocSecurity>0</DocSecurity>
  <Lines>86</Lines>
  <Paragraphs>21</Paragraphs>
  <ScaleCrop>false</ScaleCrop>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S</dc:creator>
  <cp:keywords/>
  <dc:description/>
  <cp:lastModifiedBy>Ricky S</cp:lastModifiedBy>
  <cp:revision>2</cp:revision>
  <dcterms:created xsi:type="dcterms:W3CDTF">2026-06-07T05:56:00Z</dcterms:created>
  <dcterms:modified xsi:type="dcterms:W3CDTF">2026-06-07T05:57:00Z</dcterms:modified>
</cp:coreProperties>
</file>