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BA72" w14:textId="77777777" w:rsidR="00422D5A" w:rsidRPr="00422D5A" w:rsidRDefault="00422D5A" w:rsidP="00422D5A">
      <w:pPr>
        <w:rPr>
          <w:b/>
          <w:bCs/>
        </w:rPr>
      </w:pPr>
      <w:r w:rsidRPr="00422D5A">
        <w:rPr>
          <w:b/>
          <w:bCs/>
        </w:rPr>
        <w:t>Project Summary</w:t>
      </w:r>
    </w:p>
    <w:p w14:paraId="08E09C3B" w14:textId="74476EF1" w:rsidR="00422D5A" w:rsidRPr="00422D5A" w:rsidRDefault="00422D5A" w:rsidP="00422D5A">
      <w:pPr>
        <w:rPr>
          <w:b/>
          <w:bCs/>
        </w:rPr>
      </w:pPr>
      <w:r w:rsidRPr="00422D5A">
        <w:rPr>
          <w:b/>
          <w:bCs/>
        </w:rPr>
        <w:t>Category II: Indigenous Data Commons: A National Indigenous-Governed Data Infrastructure for AI-Enabled Research, Evaluation, and Education</w:t>
      </w:r>
    </w:p>
    <w:p w14:paraId="2BD63DBB" w14:textId="77777777" w:rsidR="00422D5A" w:rsidRPr="00422D5A" w:rsidRDefault="00422D5A" w:rsidP="00422D5A">
      <w:pPr>
        <w:rPr>
          <w:b/>
          <w:bCs/>
        </w:rPr>
      </w:pPr>
      <w:r w:rsidRPr="00422D5A">
        <w:rPr>
          <w:b/>
          <w:bCs/>
        </w:rPr>
        <w:t>Overview</w:t>
      </w:r>
    </w:p>
    <w:p w14:paraId="550AEE8C" w14:textId="77777777" w:rsidR="00422D5A" w:rsidRPr="00422D5A" w:rsidRDefault="00422D5A" w:rsidP="00422D5A">
      <w:r w:rsidRPr="00422D5A">
        <w:t>The American Association of Indian Physicians (AAIP), in partnership with St Germaine Data Innovations (SGDI), proposes to transition existing Tribal-serving data integration, analytics, reporting, and technical assistance capabilities into the Indigenous Data Commons (IDC): a national-scale, Indigenous-governed, AI-ready data infrastructure for open, data-intensive, and artificial intelligence-driven research and education.</w:t>
      </w:r>
    </w:p>
    <w:p w14:paraId="1F6E52DE" w14:textId="77777777" w:rsidR="00422D5A" w:rsidRPr="00422D5A" w:rsidRDefault="00422D5A" w:rsidP="00422D5A">
      <w:r w:rsidRPr="00422D5A">
        <w:t>The IDC will support Tribal Nations, Tribal Colleges and Universities, Native-serving nonprofits, Indigenous education and workforce programs, public health partners, researchers, and federal data users seeking to responsibly discover, connect, analyze, and reuse data relevant to Indigenous-serving systems. The project will transform fragmented regional and organizational data practices—including spreadsheets, local databases, program reports, survey systems, public datasets, and SGDI-supported analytics workflows—into a production-quality national cyberinfrastructure service.</w:t>
      </w:r>
    </w:p>
    <w:p w14:paraId="666DD89A" w14:textId="77777777" w:rsidR="00422D5A" w:rsidRPr="00422D5A" w:rsidRDefault="00422D5A" w:rsidP="00422D5A">
      <w:r w:rsidRPr="00422D5A">
        <w:t xml:space="preserve">The IDC will include secure data ingestion pipelines, a governed data </w:t>
      </w:r>
      <w:proofErr w:type="spellStart"/>
      <w:r w:rsidRPr="00422D5A">
        <w:t>lakehouse</w:t>
      </w:r>
      <w:proofErr w:type="spellEnd"/>
      <w:r w:rsidRPr="00422D5A">
        <w:t>, metadata registry, common Indigenous data models, privacy-preserving linkage services, role-based dashboards, AI-assisted analytics workspaces, and standards-based API and Model Context Protocol-compatible access services. The system will be grounded in Indigenous data sovereignty, CARE principles, FAIR-aligned metadata, and transparent governance so Native communities retain authority over how data are accessed, interpreted, shared, and reused.</w:t>
      </w:r>
    </w:p>
    <w:p w14:paraId="1F1B7080" w14:textId="77777777" w:rsidR="00422D5A" w:rsidRPr="00422D5A" w:rsidRDefault="00422D5A" w:rsidP="00422D5A">
      <w:r w:rsidRPr="00422D5A">
        <w:t>Intellectual Merit</w:t>
      </w:r>
    </w:p>
    <w:p w14:paraId="7AB7AF32" w14:textId="77777777" w:rsidR="00422D5A" w:rsidRPr="00422D5A" w:rsidRDefault="00422D5A" w:rsidP="00422D5A">
      <w:r w:rsidRPr="00422D5A">
        <w:t>The intellectual merit of this project lies in advancing a national cyberinfrastructure model for responsible, Indigenous-governed, AI-enabled data integration across heterogeneous institutional, educational, health, workforce, environmental, and social service data systems. Current data systems serving Native communities are often siloed, inconsistently governed, and difficult to connect across programs or regions, limiting research on educational pathways, public health, health workforce development, rural systems, economic mobility, environmental conditions, and AI fairness.</w:t>
      </w:r>
    </w:p>
    <w:p w14:paraId="73C9030D" w14:textId="77777777" w:rsidR="00422D5A" w:rsidRPr="00422D5A" w:rsidRDefault="00422D5A" w:rsidP="00422D5A">
      <w:r w:rsidRPr="00422D5A">
        <w:t>The IDC will contribute reusable infrastructure in five areas: scalable data integration across diverse Native-serving systems; Indigenous governance models for authority, stewardship, and responsible reuse; semantic data models for multi-domain querying; secure AI service layers for natural-language analysis and report generation; and operational practices for onboarding and sustaining a geographically distributed user community. The project will support research across computer science, data science, public health, education, workforce development, social science, biomedical informatics, environmental health, and Indigenous studies.</w:t>
      </w:r>
    </w:p>
    <w:p w14:paraId="01870D87" w14:textId="77777777" w:rsidR="00422D5A" w:rsidRPr="00422D5A" w:rsidRDefault="00422D5A" w:rsidP="00422D5A">
      <w:r w:rsidRPr="00422D5A">
        <w:t>Broader Impacts</w:t>
      </w:r>
    </w:p>
    <w:p w14:paraId="351E94A3" w14:textId="77777777" w:rsidR="00422D5A" w:rsidRPr="00422D5A" w:rsidRDefault="00422D5A" w:rsidP="00422D5A">
      <w:r w:rsidRPr="00422D5A">
        <w:lastRenderedPageBreak/>
        <w:t>The IDC will strengthen national research capacity, expand participation in data-intensive science, and improve access to advanced cyberinfrastructure for Native-serving organizations. By reducing the burden of data integration, governance, analysis, and reporting, the IDC will help Tribal and Native-serving partners use evidence more efficiently to support community priorities.</w:t>
      </w:r>
    </w:p>
    <w:p w14:paraId="71390B94" w14:textId="77777777" w:rsidR="00422D5A" w:rsidRPr="00422D5A" w:rsidRDefault="00422D5A" w:rsidP="00422D5A">
      <w:r w:rsidRPr="00422D5A">
        <w:t>Through AAIP’s national network and SGDI’s technical operations capacity, the project will create a sustainable national service model for Indigenous data infrastructure. The IDC will support better research, stronger evaluation, improved grant readiness, and more responsible AI use across Native-serving systems while honoring the principle that data about Indigenous peoples, communities, and Nations must be governed with care, accountability, and respect.</w:t>
      </w:r>
    </w:p>
    <w:p w14:paraId="19EBE87A" w14:textId="77777777" w:rsidR="00101B59" w:rsidRDefault="00101B59"/>
    <w:sectPr w:rsidR="00101B59" w:rsidSect="00422D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E3371"/>
    <w:multiLevelType w:val="multilevel"/>
    <w:tmpl w:val="7F8C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57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59"/>
    <w:rsid w:val="00101B59"/>
    <w:rsid w:val="001608F1"/>
    <w:rsid w:val="00422D5A"/>
    <w:rsid w:val="00BF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7068"/>
  <w15:chartTrackingRefBased/>
  <w15:docId w15:val="{B6DA061F-BBF5-4306-A6C8-E2F9A4C0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59"/>
    <w:rPr>
      <w:rFonts w:eastAsiaTheme="majorEastAsia" w:cstheme="majorBidi"/>
      <w:color w:val="272727" w:themeColor="text1" w:themeTint="D8"/>
    </w:rPr>
  </w:style>
  <w:style w:type="paragraph" w:styleId="Title">
    <w:name w:val="Title"/>
    <w:basedOn w:val="Normal"/>
    <w:next w:val="Normal"/>
    <w:link w:val="TitleChar"/>
    <w:uiPriority w:val="10"/>
    <w:qFormat/>
    <w:rsid w:val="00101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B59"/>
    <w:pPr>
      <w:spacing w:before="160"/>
      <w:jc w:val="center"/>
    </w:pPr>
    <w:rPr>
      <w:i/>
      <w:iCs/>
      <w:color w:val="404040" w:themeColor="text1" w:themeTint="BF"/>
    </w:rPr>
  </w:style>
  <w:style w:type="character" w:customStyle="1" w:styleId="QuoteChar">
    <w:name w:val="Quote Char"/>
    <w:basedOn w:val="DefaultParagraphFont"/>
    <w:link w:val="Quote"/>
    <w:uiPriority w:val="29"/>
    <w:rsid w:val="00101B59"/>
    <w:rPr>
      <w:i/>
      <w:iCs/>
      <w:color w:val="404040" w:themeColor="text1" w:themeTint="BF"/>
    </w:rPr>
  </w:style>
  <w:style w:type="paragraph" w:styleId="ListParagraph">
    <w:name w:val="List Paragraph"/>
    <w:basedOn w:val="Normal"/>
    <w:uiPriority w:val="34"/>
    <w:qFormat/>
    <w:rsid w:val="00101B59"/>
    <w:pPr>
      <w:ind w:left="720"/>
      <w:contextualSpacing/>
    </w:pPr>
  </w:style>
  <w:style w:type="character" w:styleId="IntenseEmphasis">
    <w:name w:val="Intense Emphasis"/>
    <w:basedOn w:val="DefaultParagraphFont"/>
    <w:uiPriority w:val="21"/>
    <w:qFormat/>
    <w:rsid w:val="00101B59"/>
    <w:rPr>
      <w:i/>
      <w:iCs/>
      <w:color w:val="0F4761" w:themeColor="accent1" w:themeShade="BF"/>
    </w:rPr>
  </w:style>
  <w:style w:type="paragraph" w:styleId="IntenseQuote">
    <w:name w:val="Intense Quote"/>
    <w:basedOn w:val="Normal"/>
    <w:next w:val="Normal"/>
    <w:link w:val="IntenseQuoteChar"/>
    <w:uiPriority w:val="30"/>
    <w:qFormat/>
    <w:rsid w:val="00101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B59"/>
    <w:rPr>
      <w:i/>
      <w:iCs/>
      <w:color w:val="0F4761" w:themeColor="accent1" w:themeShade="BF"/>
    </w:rPr>
  </w:style>
  <w:style w:type="character" w:styleId="IntenseReference">
    <w:name w:val="Intense Reference"/>
    <w:basedOn w:val="DefaultParagraphFont"/>
    <w:uiPriority w:val="32"/>
    <w:qFormat/>
    <w:rsid w:val="00101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20DDB-0E1B-421F-9F37-F84516BD4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3351</Characters>
  <Application>Microsoft Office Word</Application>
  <DocSecurity>0</DocSecurity>
  <Lines>52</Lines>
  <Paragraphs>15</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2026-06-07T05:27:00Z</dcterms:created>
  <dcterms:modified xsi:type="dcterms:W3CDTF">2026-06-07T05:27:00Z</dcterms:modified>
</cp:coreProperties>
</file>