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Original Paper</w:t>
      </w:r>
    </w:p>
    <w:p>
      <w:pPr>
        <w:pStyle w:val="BodyText"/>
      </w:pPr>
      <w:r>
        <w:t xml:space="preserve">Samuel Thomas Harrold, 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Corresponding Author: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Medicare Shared Savings Program (MSSP) benchmarks are reset at each new agreement from an accountable</w:t>
      </w:r>
      <w:r>
        <w:t xml:space="preserve"> </w:t>
      </w:r>
      <w:r>
        <w:t xml:space="preserve">care organization’s (ACO’s) recent spending, adjusted toward its region. ACOs could end an agreement early to reset</w:t>
      </w:r>
      <w:r>
        <w:t xml:space="preserve"> </w:t>
      </w:r>
      <w:r>
        <w:t xml:space="preserve">sooner; which ACOs did so has not been studied in the peer-reviewed literature.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aimed to test whether ACOs that renewed early stood to gain more from the regional part of a</w:t>
      </w:r>
      <w:r>
        <w:t xml:space="preserve"> </w:t>
      </w:r>
      <w:r>
        <w:t xml:space="preserve">reset, and whether their spending growth differed afterward.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preregistered retrospective cohort study included the 334 MSSP ACOs whose agreements began July 1,</w:t>
      </w:r>
      <w:r>
        <w:t xml:space="preserve"> </w:t>
      </w:r>
      <w:r>
        <w:t xml:space="preserve">2019 or January 1, 2020, using Centers for Medicare &amp; Medicaid Services (CMS) public use files (2016-2024). Plan,</w:t>
      </w:r>
      <w:r>
        <w:t xml:space="preserve"> </w:t>
      </w:r>
      <w:r>
        <w:t xml:space="preserve">decision rules and code were registered before any outcome data were read. The reset benchmark was rebuilt from 42</w:t>
      </w:r>
      <w:r>
        <w:t xml:space="preserve"> </w:t>
      </w:r>
      <w:r>
        <w:t xml:space="preserve">CFR 425.601 and validated against CMS’s published benchmarks for 101 other ACOs before use. For early renewal into a</w:t>
      </w:r>
      <w:r>
        <w:t xml:space="preserve"> </w:t>
      </w:r>
      <w:r>
        <w:t xml:space="preserve">January 1, 2022 agreement (29 ACOs vs 277 that stayed), the primary measure was the regional pull (case-mix-adjusted</w:t>
      </w:r>
      <w:r>
        <w:t xml:space="preserve"> </w:t>
      </w:r>
      <w:r>
        <w:t xml:space="preserve">regional spending relative to the current benchmark); the own-spending component of a reset and the BASIC risk level</w:t>
      </w:r>
      <w:r>
        <w:t xml:space="preserve"> </w:t>
      </w:r>
      <w:r>
        <w:t xml:space="preserve">were also examined. Groups were compared by Bayesian bootstrap and permutation tests, and early renewal was modeled by</w:t>
      </w:r>
      <w:r>
        <w:t xml:space="preserve"> </w:t>
      </w:r>
      <w:r>
        <w:t xml:space="preserve">Bayesian logistic regression with measurement error, tested by direct simulation. Per-capita spending growth in</w:t>
      </w:r>
      <w:r>
        <w:t xml:space="preserve"> </w:t>
      </w:r>
      <w:r>
        <w:t xml:space="preserve">2022-2024 was compared by difference-in-differences with a preregistered equivalence condition on pre-trends.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 ρ = 0.94). Relative to their current benchmarks,</w:t>
      </w:r>
      <w:r>
        <w:t xml:space="preserve"> </w:t>
      </w:r>
      <w:r>
        <w:t xml:space="preserve">early renewers’ regional spending was 3.4 percentage points higher than stayers’ (95% credible interval [CrI], 1.7</w:t>
      </w:r>
      <w:r>
        <w:t xml:space="preserve"> </w:t>
      </w:r>
      <w:r>
        <w:t xml:space="preserve">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but they were also beating their benchmarks by more (own-spending component, −2.1 points; 95%</w:t>
      </w:r>
      <w:r>
        <w:t xml:space="preserve"> </w:t>
      </w:r>
      <w:r>
        <w:t xml:space="preserve">CrI, −3.8 to −0.5), and the total expected gain did not differ (−0.5 points; 95% CrI, −2.0 to 0.8). Post hoc, CMS’s</w:t>
      </w:r>
      <w:r>
        <w:t xml:space="preserve"> </w:t>
      </w:r>
      <w:r>
        <w:t xml:space="preserve">published 2022 benchmarks for early renewers averaged 1.3% below their 2021 benchmarks. Among 206 BASIC-track ACOs,</w:t>
      </w:r>
      <w:r>
        <w:t xml:space="preserve"> </w:t>
      </w:r>
      <w:r>
        <w:t xml:space="preserve">early renewal was associated with a higher regional pull (log-odds difference per 2 SD, 1.34; 95% CrI, 0.44 to 2.30)</w:t>
      </w:r>
      <w:r>
        <w:t xml:space="preserve"> </w:t>
      </w:r>
      <w:r>
        <w:t xml:space="preserve">and a higher, two-sided BASIC level (1.34; 95% CrI, 0.38 to 2.31). Spending growth did not differ detectably</w:t>
      </w:r>
      <w:r>
        <w:t xml:space="preserve"> </w:t>
      </w:r>
      <w:r>
        <w:t xml:space="preserve">(−0.4%; 95% CrI, −4.0% to 2.5%); the equivalence condition did not hold, so this is not read as an effect.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ACOs that renewed early more often had regions that spent more relative to their</w:t>
      </w:r>
      <w:r>
        <w:t xml:space="preserve"> </w:t>
      </w:r>
      <w:r>
        <w:t xml:space="preserve">benchmarks and were more often at higher BASIC levels, for which renewal opened a 75% sharing rate; the reset did</w:t>
      </w:r>
      <w:r>
        <w:t xml:space="preserve"> </w:t>
      </w:r>
      <w:r>
        <w:t xml:space="preserve">not on average raise their benchmarks. These are associations under the 2022 rules; benchmarks set from 2024 credit prior savings. These findings extend</w:t>
      </w:r>
      <w:r>
        <w:t xml:space="preserve"> </w:t>
      </w:r>
      <w:r>
        <w:t xml:space="preserve">evidence that benchmark rules sort ACOs to the timing of resets.</w:t>
      </w:r>
    </w:p>
    <w:p>
      <w:pPr>
        <w:pStyle w:val="BodyText"/>
      </w:pPr>
      <w:r>
        <w:rPr>
          <w:b/>
          <w:bCs/>
        </w:rPr>
        <w:t xml:space="preserve">Trial Registration:</w:t>
      </w:r>
      <w:r>
        <w:t xml:space="preserve"> </w:t>
      </w:r>
      <w:r>
        <w:t xml:space="preserve">OSF Registries osf.io/c53w9; https://osf.io/c53w9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At 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3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8</w:t>
        </w:r>
      </w:hyperlink>
      <w:r>
        <w:t xml:space="preserve">]</w:t>
      </w:r>
    </w:p>
    <w:p>
      <w:pPr>
        <w:pStyle w:val="BodyText"/>
      </w:pPr>
      <w:r>
        <w:t xml:space="preserve">Benchmarks are central to that selection. Rebasing to an ACO’s own recent spending weakens its incentive to save,</w:t>
      </w:r>
      <w:r>
        <w:t xml:space="preserve"> </w:t>
      </w:r>
      <w:r>
        <w:t xml:space="preserve">and under earlier weights it rewarded higher spending just before a new agreement.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ACOs’ spending</w:t>
      </w:r>
      <w:r>
        <w:t xml:space="preserve"> </w:t>
      </w:r>
      <w:r>
        <w:t xml:space="preserve">varies widely relative to their regions even after risk adjustment, so moving benchmarks toward regional averages</w:t>
      </w:r>
      <w:r>
        <w:t xml:space="preserve"> </w:t>
      </w:r>
      <w:r>
        <w:t xml:space="preserve">shifts them unevenly.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19</w:t>
        </w:r>
      </w:hyperlink>
      <w:r>
        <w:t xml:space="preserve">]</w:t>
      </w:r>
    </w:p>
    <w:p>
      <w:pPr>
        <w:pStyle w:val="BodyText"/>
      </w:pPr>
      <w:r>
        <w:t xml:space="preserve">The same rules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period;</w:t>
      </w:r>
      <w:r>
        <w:t xml:space="preserve">[</w:t>
      </w:r>
      <w:hyperlink w:anchor="ref-frpathways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Which ACOs used the option bears on how benchmark rules sort ACOs, but to</w:t>
      </w:r>
      <w:r>
        <w:t xml:space="preserve"> </w:t>
      </w:r>
      <w:r>
        <w:t xml:space="preserve">the author’s knowledge it has not been studied in the peer-reviewed literature.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i/>
          <w:i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i/>
          <w:iCs/>
        </w:rPr>
        <w:t xml:space="preserve">sharing-rate motive</w:t>
      </w:r>
      <w:r>
        <w:t xml:space="preserve">, a BASIC-track ACO renews to reach ENHANCED. The savings rate cannot separate</w:t>
      </w:r>
      <w:r>
        <w:t xml:space="preserve"> </w:t>
      </w:r>
      <w:r>
        <w:t xml:space="preserve">them: an ACO beating its benchmark would lose on the own-spending part of a reset, yet may gain on the regional part</w:t>
      </w:r>
      <w:r>
        <w:t xml:space="preserve"> </w:t>
      </w:r>
      <w:r>
        <w:t xml:space="preserve">if its region spends more. This study therefore took as its primary test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 a measure of how</w:t>
      </w:r>
      <w:r>
        <w:t xml:space="preserve"> </w:t>
      </w:r>
      <w:r>
        <w:t xml:space="preserve">far an ACO’s case-mix-adjusted regional spending sat above its current benchmark, which contains no term for the</w:t>
      </w:r>
      <w:r>
        <w:t xml:space="preserve"> </w:t>
      </w:r>
      <w:r>
        <w:t xml:space="preserve">ACO’s own benchmark-year spending. It asked whether early renewers stood to gain more from the regional part of a</w:t>
      </w:r>
      <w:r>
        <w:t xml:space="preserve"> </w:t>
      </w:r>
      <w:r>
        <w:t xml:space="preserve">reset than ACOs that stayed, which characteristics were associated with early renewal, and whether early renewers’</w:t>
      </w:r>
      <w:r>
        <w:t xml:space="preserve"> </w:t>
      </w:r>
      <w:r>
        <w:t xml:space="preserve">spending growth differed afterward. The analysis plan, hypotheses, decision rules and code were registered before</w:t>
      </w:r>
      <w:r>
        <w:t xml:space="preserve"> </w:t>
      </w:r>
      <w:r>
        <w:t xml:space="preserve">any outcome value was read.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Associations with pre-decision characteristics bear on the motives but</w:t>
      </w:r>
      <w:r>
        <w:t xml:space="preserve"> </w:t>
      </w:r>
      <w:r>
        <w:t xml:space="preserve">cannot establish them, and no test here can separate the two motives.</w:t>
      </w:r>
    </w:p>
    <w:bookmarkEnd w:id="13"/>
    <w:bookmarkStart w:id="33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(checklist in Multimedia Appendix 2). The analysis plan and the code commit that implements it were registered on OSF (Open Science Framework)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24</w:t>
        </w:r>
      </w:hyperlink>
      <w:r>
        <w:t xml:space="preserve">,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Centers for Medicare &amp; Medicaid Services (CMS)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31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i/>
          <w:i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21" w:name="variables"/>
    <w:p>
      <w:pPr>
        <w:pStyle w:val="Heading2"/>
      </w:pPr>
      <w:r>
        <w:t xml:space="preserve">Variables</w:t>
      </w:r>
    </w:p>
    <w:bookmarkStart w:id="17" w:name="expected-gain-from-a-reset"/>
    <w:p>
      <w:pPr>
        <w:pStyle w:val="Heading3"/>
      </w:pPr>
      <w:r>
        <w:t xml:space="preserve">Expected Gain From a Reset</w:t>
      </w:r>
    </w:p>
    <w:p>
      <w:pPr>
        <w:pStyle w:val="FirstParagraph"/>
      </w:pP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 100 × (new − 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i/>
          <w:i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i/>
          <w:i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e</w:t>
      </w:r>
      <w:r>
        <w:t xml:space="preserve"> </w:t>
      </w:r>
      <w:r>
        <w:t xml:space="preserve">is the case-mix-adjusted regional spending for enrollment type</w:t>
      </w:r>
      <w:r>
        <w:t xml:space="preserve"> </w:t>
      </w:r>
      <w:r>
        <w:rPr>
          <w:i/>
          <w:iCs/>
        </w:rPr>
        <w:t xml:space="preserve">e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vertAlign w:val="subscript"/>
        </w:rPr>
        <w:t xml:space="preserve">e</w:t>
      </w:r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bookmarkEnd w:id="17"/>
    <w:bookmarkStart w:id="18" w:name="validation-before-use"/>
    <w:p>
      <w:pPr>
        <w:pStyle w:val="Heading3"/>
      </w:pPr>
      <w:r>
        <w:t xml:space="preserve">Validation Before Use</w:t>
      </w:r>
    </w:p>
    <w:p>
      <w:pPr>
        <w:pStyle w:val="FirstParagraph"/>
      </w:pP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bookmarkEnd w:id="18"/>
    <w:bookmarkStart w:id="19" w:name="other-variables"/>
    <w:p>
      <w:pPr>
        <w:pStyle w:val="Heading3"/>
      </w:pPr>
      <w:r>
        <w:t xml:space="preserve">Other Variables</w:t>
      </w:r>
    </w:p>
    <w:p>
      <w:pPr>
        <w:pStyle w:val="FirstParagraph"/>
      </w:pP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</w:p>
    <w:bookmarkEnd w:id="19"/>
    <w:bookmarkStart w:id="20" w:name="suppressed-values"/>
    <w:p>
      <w:pPr>
        <w:pStyle w:val="Heading3"/>
      </w:pPr>
      <w:r>
        <w:t xml:space="preserve">Suppressed Values</w:t>
      </w:r>
    </w:p>
    <w:p>
      <w:pPr>
        <w:pStyle w:val="FirstParagraph"/>
      </w:pP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20"/>
    <w:bookmarkEnd w:id="21"/>
    <w:bookmarkStart w:id="22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i/>
          <w:i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i/>
          <w:iCs/>
        </w:rPr>
        <w:t xml:space="preserve">H2a</w:t>
      </w:r>
      <w:r>
        <w:rPr>
          <w:i/>
          <w:iCs/>
        </w:rPr>
        <w:t xml:space="preserve"> </w:t>
      </w:r>
      <w:r>
        <w:rPr>
          <w:i/>
          <w:i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i/>
          <w:iCs/>
        </w:rPr>
        <w:t xml:space="preserve">H1</w:t>
      </w:r>
      <w:r>
        <w:rPr>
          <w:i/>
          <w:iCs/>
        </w:rPr>
        <w:t xml:space="preserve"> </w:t>
      </w:r>
      <w:r>
        <w:rPr>
          <w:i/>
          <w:i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i/>
          <w:i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i/>
          <w:i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22"/>
    <w:bookmarkStart w:id="30" w:name="statistical-analysis"/>
    <w:p>
      <w:pPr>
        <w:pStyle w:val="Heading2"/>
      </w:pPr>
      <w:r>
        <w:t xml:space="preserve">Statistical Analysis</w:t>
      </w:r>
    </w:p>
    <w:bookmarkStart w:id="23" w:name="group-comparisons-h1-h2a-h2b"/>
    <w:p>
      <w:pPr>
        <w:pStyle w:val="Heading3"/>
      </w:pPr>
      <w:r>
        <w:t xml:space="preserve">Group Comparisons (H1, H2a, H2b)</w:t>
      </w:r>
    </w:p>
    <w:p>
      <w:pPr>
        <w:pStyle w:val="FirstParagraph"/>
      </w:pP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bookmarkEnd w:id="23"/>
    <w:bookmarkStart w:id="24" w:name="decision-model-h3"/>
    <w:p>
      <w:pPr>
        <w:pStyle w:val="Heading3"/>
      </w:pPr>
      <w:r>
        <w:t xml:space="preserve">Decision Model (H3)</w:t>
      </w:r>
    </w:p>
    <w:p>
      <w:pPr>
        <w:pStyle w:val="FirstParagraph"/>
      </w:pP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40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bookmarkEnd w:id="24"/>
    <w:bookmarkStart w:id="25" w:name="spending-after-renewal-h4"/>
    <w:p>
      <w:pPr>
        <w:pStyle w:val="Heading3"/>
      </w:pPr>
      <w:r>
        <w:t xml:space="preserve">Spending After Renewal (H4)</w:t>
      </w:r>
    </w:p>
    <w:p>
      <w:pPr>
        <w:pStyle w:val="FirstParagraph"/>
      </w:pPr>
      <w:r>
        <w:t xml:space="preserve">For each ACO, Δ 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 Δ,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bookmarkEnd w:id="25"/>
    <w:bookmarkStart w:id="26" w:name="power"/>
    <w:p>
      <w:pPr>
        <w:pStyle w:val="Heading3"/>
      </w:pPr>
      <w:r>
        <w:t xml:space="preserve">Power</w:t>
      </w:r>
    </w:p>
    <w:p>
      <w:pPr>
        <w:pStyle w:val="FirstParagraph"/>
      </w:pPr>
      <w:r>
        <w:t xml:space="preserve">Minimum detectable effects (MDEs) at 80% power and 2-sided α 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bookmarkEnd w:id="26"/>
    <w:bookmarkStart w:id="27" w:name="decision-rules"/>
    <w:p>
      <w:pPr>
        <w:pStyle w:val="Heading3"/>
      </w:pPr>
      <w:r>
        <w:t xml:space="preserve">Decision Rules</w:t>
      </w:r>
    </w:p>
    <w:p>
      <w:pPr>
        <w:pStyle w:val="FirstParagraph"/>
      </w:pP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bookmarkEnd w:id="27"/>
    <w:bookmarkStart w:id="28" w:name="X3d1e5499a32e15aaf406abcc81d44387481ecc1"/>
    <w:p>
      <w:pPr>
        <w:pStyle w:val="Heading3"/>
      </w:pPr>
      <w:r>
        <w:t xml:space="preserve">Covariate-Adjusted Estimates, Conventional Methods, and Robustness</w:t>
      </w:r>
    </w:p>
    <w:p>
      <w:pPr>
        <w:pStyle w:val="FirstParagraph"/>
      </w:pP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Markov chain Monte Carlo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55</w:t>
        </w:r>
      </w:hyperlink>
      <w:r>
        <w:t xml:space="preserve">]</w:t>
      </w:r>
    </w:p>
    <w:bookmarkEnd w:id="28"/>
    <w:bookmarkStart w:id="29" w:name="deviations"/>
    <w:p>
      <w:pPr>
        <w:pStyle w:val="Heading3"/>
      </w:pPr>
      <w:r>
        <w:t xml:space="preserve">Deviations</w:t>
      </w:r>
    </w:p>
    <w:p>
      <w:pPr>
        <w:pStyle w:val="FirstParagraph"/>
      </w:pP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29"/>
    <w:bookmarkEnd w:id="30"/>
    <w:bookmarkStart w:id="31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two checks of the</w:t>
      </w:r>
      <w:r>
        <w:t xml:space="preserve"> </w:t>
      </w:r>
      <w:r>
        <w:t xml:space="preserve">expected gain were added (eTable 12 in Multimedia Appendix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</w:t>
      </w:r>
      <w:r>
        <w:t xml:space="preserve"> </w:t>
      </w:r>
      <w:r>
        <w:t xml:space="preserve">group-comparison estimator above.</w:t>
      </w:r>
    </w:p>
    <w:bookmarkEnd w:id="31"/>
    <w:bookmarkStart w:id="32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intervention or interaction with individuals and no identifiable private information, so it was not human subjects</w:t>
      </w:r>
      <w:r>
        <w:t xml:space="preserve"> </w:t>
      </w:r>
      <w:r>
        <w:t xml:space="preserve">research as defined by the US Federal Policy for the Protection of Human Subjects (45 CFR 46.102(e)(1)).</w:t>
      </w:r>
      <w:r>
        <w:t xml:space="preserve">[</w:t>
      </w:r>
      <w:hyperlink w:anchor="ref-cfr46102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Ethics review was therefore not sought, and informed consent, privacy protections for participants and compensation</w:t>
      </w:r>
      <w:r>
        <w:t xml:space="preserve"> </w:t>
      </w:r>
      <w:r>
        <w:t xml:space="preserve">did not apply.</w:t>
      </w:r>
    </w:p>
    <w:bookmarkEnd w:id="32"/>
    <w:bookmarkEnd w:id="33"/>
    <w:bookmarkStart w:id="51" w:name="results"/>
    <w:p>
      <w:pPr>
        <w:pStyle w:val="Heading1"/>
      </w:pPr>
      <w:r>
        <w:t xml:space="preserve">Results</w:t>
      </w:r>
    </w:p>
    <w:bookmarkStart w:id="37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Multimedia Appendix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35" name="Picture"/>
            <a:graphic>
              <a:graphicData uri="http://schemas.openxmlformats.org/drawingml/2006/picture">
                <pic:pic>
                  <pic:nvPicPr>
                    <pic:cNvPr descr="figures/figure1-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37"/>
    <w:bookmarkStart w:id="41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supported:</w:t>
      </w:r>
      <w:r>
        <w:t xml:space="preserve"> </w:t>
      </w:r>
      <w:r>
        <w:t xml:space="preserve">early renewers’ regions spent more relative to their current benchmarks, evidence for the reset motive beyond past savings. The decomposition qualifies that reading.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=.003):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=.33).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12 in Multimedia Appendix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 α 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39" name="Picture"/>
            <a:graphic>
              <a:graphicData uri="http://schemas.openxmlformats.org/drawingml/2006/picture">
                <pic:pic>
                  <pic:nvPicPr>
                    <pic:cNvPr descr="figures/figure2-compariso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41"/>
    <w:bookmarkStart w:id="45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=.002)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=.003);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=.19);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Multimedia Appendix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43" name="Picture"/>
            <a:graphic>
              <a:graphicData uri="http://schemas.openxmlformats.org/drawingml/2006/picture">
                <pic:pic>
                  <pic:nvPicPr>
                    <pic:cNvPr descr="figures/figure3-decision-mod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Decision model of early renewal among BASIC-track ACOs (H3). Points are posterior means and lines 95% credible intervals; the shaded band is the Normal(0, 1) prior’s central 95%. Bold labels mark the core predictors.</w:t>
      </w:r>
    </w:p>
    <w:bookmarkEnd w:id="45"/>
    <w:bookmarkStart w:id="49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=.78;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=.58),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Multimedia Appendix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=.30).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47" name="Picture"/>
            <a:graphic>
              <a:graphicData uri="http://schemas.openxmlformats.org/drawingml/2006/picture">
                <pic:pic>
                  <pic:nvPicPr>
                    <pic:cNvPr descr="figures/figure4-spend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49"/>
    <w:bookmarkStart w:id="50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Multimedia Appendix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=.001),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Multimedia Appendix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=.09; H1,</w:t>
      </w:r>
      <w:r>
        <w:t xml:space="preserve"> </w:t>
      </w:r>
      <w:r>
        <w:rPr>
          <w:i/>
          <w:iCs/>
        </w:rPr>
        <w:t xml:space="preserve">P</w:t>
      </w:r>
      <w:r>
        <w:t xml:space="preserve">=.06)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Multimedia Appendix 1).</w:t>
      </w:r>
    </w:p>
    <w:p>
      <w:pPr>
        <w:pStyle w:val="BodyText"/>
      </w:pPr>
      <w:r>
        <w:t xml:space="preserve">Among the exploratory analyses (eTables 9-11 in Multimedia Appendix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50"/>
    <w:bookmarkEnd w:id="51"/>
    <w:bookmarkStart w:id="57" w:name="discussion"/>
    <w:p>
      <w:pPr>
        <w:pStyle w:val="Heading1"/>
      </w:pPr>
      <w:r>
        <w:t xml:space="preserve">Discussion</w:t>
      </w:r>
    </w:p>
    <w:bookmarkStart w:id="52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In this preregistered study of the 2019 and 2020 MSSP cohorts, ACOs that ended their agreements early to begin new</w:t>
      </w:r>
      <w:r>
        <w:t xml:space="preserve"> </w:t>
      </w:r>
      <w:r>
        <w:t xml:space="preserve">ones on average had regions that spent more relative to their current benchmarks, and, among BASIC-track ACOs, were</w:t>
      </w:r>
      <w:r>
        <w:t xml:space="preserve"> </w:t>
      </w:r>
      <w:r>
        <w:t xml:space="preserve">more often already at the higher, two-sided levels. They were also beating their benchmarks by more than ACOs that</w:t>
      </w:r>
      <w:r>
        <w:t xml:space="preserve"> </w:t>
      </w:r>
      <w:r>
        <w:t xml:space="preserve">stayed, so by the study’s approximation a reset would not on average have raised their benchmarks: the regional gain</w:t>
      </w:r>
      <w:r>
        <w:t xml:space="preserve"> </w:t>
      </w:r>
      <w:r>
        <w:t xml:space="preserve">and the own-spending loss roughly offset. CMS’s published 2022 benchmarks, examined post hoc, agree. Spending growth in the 3 years after renewal did not differ detectably from</w:t>
      </w:r>
      <w:r>
        <w:t xml:space="preserve"> </w:t>
      </w:r>
      <w:r>
        <w:t xml:space="preserve">that of ACOs not yet renewed, a result the design could not separate from a continuation of a pre-period difference in</w:t>
      </w:r>
      <w:r>
        <w:t xml:space="preserve"> </w:t>
      </w:r>
      <w:r>
        <w:t xml:space="preserve">trends.</w:t>
      </w:r>
    </w:p>
    <w:p>
      <w:pPr>
        <w:pStyle w:val="BodyText"/>
      </w:pPr>
      <w:r>
        <w:t xml:space="preserve">To the author’s knowledge, this is the first peer-reviewed study of which ACOs used the early-renewal option. It adds</w:t>
      </w:r>
      <w:r>
        <w:t xml:space="preserve"> </w:t>
      </w:r>
      <w:r>
        <w:t xml:space="preserve">3 things to the literature on how benchmark rules sort ACOs: evidence that the sorting extends from whether ACOs join</w:t>
      </w:r>
      <w:r>
        <w:t xml:space="preserve"> </w:t>
      </w:r>
      <w:r>
        <w:t xml:space="preserve">or leave to when they reset; evidence against the intuitive account that ACOs renewed early to raise their</w:t>
      </w:r>
      <w:r>
        <w:t xml:space="preserve"> </w:t>
      </w:r>
      <w:r>
        <w:t xml:space="preserve">benchmarks; and a preregistered estimate of spending after renewal, under rules that have since changed.</w:t>
      </w:r>
    </w:p>
    <w:bookmarkEnd w:id="52"/>
    <w:bookmarkStart w:id="53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The primary result extends to a new decision the pattern that participation follows the benchmark formula.</w:t>
      </w:r>
      <w:r>
        <w:t xml:space="preserve"> </w:t>
      </w:r>
      <w:r>
        <w:t xml:space="preserve">Participation shifted toward providers whose spending was low relative to their region once regional spending entered</w:t>
      </w:r>
      <w:r>
        <w:t xml:space="preserve"> </w:t>
      </w:r>
      <w:r>
        <w:t xml:space="preserve">benchmarks,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and ACOs whose effective benchmarks fell were more likely to leave.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</w:t>
      </w:r>
      <w:r>
        <w:t xml:space="preserve"> </w:t>
      </w:r>
      <w:r>
        <w:t xml:space="preserve">when to reset rather than whether to join or leave, and early renewers had, on average, more room under their regions’</w:t>
      </w:r>
      <w:r>
        <w:t xml:space="preserve"> </w:t>
      </w:r>
      <w:r>
        <w:t xml:space="preserve">spending. An industry analysis of the same rebasing cohort found that ACOs rebasing early in 2022 had higher gross</w:t>
      </w:r>
      <w:r>
        <w:t xml:space="preserve"> </w:t>
      </w:r>
      <w:r>
        <w:t xml:space="preserve">savings rates beforehand and that the earlier incumbents among them moved to ENHANCED,</w:t>
      </w:r>
      <w:r>
        <w:t xml:space="preserve">[</w:t>
      </w:r>
      <w:hyperlink w:anchor="ref-milliman2024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consistent with</w:t>
      </w:r>
      <w:r>
        <w:t xml:space="preserve"> </w:t>
      </w:r>
      <w:r>
        <w:t xml:space="preserve">H1 and the BASIC-level association here. Beyond that analysis, this study rebuilt the reset benchmark and validated it</w:t>
      </w:r>
      <w:r>
        <w:t xml:space="preserve"> </w:t>
      </w:r>
      <w:r>
        <w:t xml:space="preserve">against CMS’s, separated its own-spending and regional parts, modeled the decision within the BASIC track and followed</w:t>
      </w:r>
      <w:r>
        <w:t xml:space="preserve"> </w:t>
      </w:r>
      <w:r>
        <w:t xml:space="preserve">spending afterward, under a preregistered plan.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rules.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The same success, however, meant that the own-spending part of a reset would</w:t>
      </w:r>
      <w:r>
        <w:t xml:space="preserve"> </w:t>
      </w:r>
      <w:r>
        <w:t xml:space="preserve">have cut their benchmarks. The intuitive account that ACOs renewed early to get a higher benchmark therefore does not</w:t>
      </w:r>
      <w:r>
        <w:t xml:space="preserve"> </w:t>
      </w:r>
      <w:r>
        <w:t xml:space="preserve">describe them on average, and CMS’s published 2022 benchmarks, examined post hoc, agree.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</w:t>
      </w:r>
      <w:r>
        <w:t xml:space="preserve"> </w:t>
      </w:r>
      <w:r>
        <w:t xml:space="preserve">already in ENHANCED, for whom only the reset could change, looked like typical stayers on every variable, but 2 ACOs</w:t>
      </w:r>
      <w:r>
        <w:t xml:space="preserve"> </w:t>
      </w:r>
      <w:r>
        <w:t xml:space="preserve">cannot separate the motives. No test here can rule either motive in or out.</w:t>
      </w:r>
    </w:p>
    <w:bookmarkEnd w:id="53"/>
    <w:bookmarkStart w:id="54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the early-renewal option let ACOs choose when to reset, and that those</w:t>
      </w:r>
      <w:r>
        <w:t xml:space="preserve"> </w:t>
      </w:r>
      <w:r>
        <w:t xml:space="preserve">that used it were, by the approximation, positioned to gain from the regional adjustment rather than from a higher</w:t>
      </w:r>
      <w:r>
        <w:t xml:space="preserve"> </w:t>
      </w:r>
      <w:r>
        <w:t xml:space="preserve">benchmark overall, with a higher sharing rate available to almost all of them. The 2024 rules also offer a test: 34</w:t>
      </w:r>
      <w:r>
        <w:t xml:space="preserve"> </w:t>
      </w:r>
      <w:r>
        <w:t xml:space="preserve">stayers renewed early into 2024 agreements under them. That is selection into an option the</w:t>
      </w:r>
      <w:r>
        <w:t xml:space="preserve"> </w:t>
      </w:r>
      <w:r>
        <w:t xml:space="preserve">program created; it is not evidence that renewing changed spending. The rules have since changed. For agreement</w:t>
      </w:r>
      <w:r>
        <w:t xml:space="preserve"> </w:t>
      </w:r>
      <w:r>
        <w:t xml:space="preserve">periods beginning January 1, 2024 or later, an ACO that saved in its benchmark years can receive a prior savings</w:t>
      </w:r>
      <w:r>
        <w:t xml:space="preserve"> </w:t>
      </w:r>
      <w:r>
        <w:t xml:space="preserve">adjustment, and its benchmark gets the higher of that adjustment and the regional adjustment; negative regional</w:t>
      </w:r>
      <w:r>
        <w:t xml:space="preserve"> </w:t>
      </w:r>
      <w:r>
        <w:t xml:space="preserve">adjustments are partly offset; and the annual update blends in a fixed projected trend.</w:t>
      </w:r>
      <w:r>
        <w:t xml:space="preserve">[</w:t>
      </w:r>
      <w:hyperlink w:anchor="ref-cfr2024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Under these rules</w:t>
      </w:r>
      <w:r>
        <w:t xml:space="preserve"> </w:t>
      </w:r>
      <w:r>
        <w:t xml:space="preserve">a reset costs an ACO that has been beating its benchmark less, so the incentive to renew early, and which ACOs do so,</w:t>
      </w:r>
      <w:r>
        <w:t xml:space="preserve"> </w:t>
      </w:r>
      <w:r>
        <w:t xml:space="preserve">may differ. Two questions remain open: what early renewal cost Medicare, and how much of the choice reflected the</w:t>
      </w:r>
      <w:r>
        <w:t xml:space="preserve"> </w:t>
      </w:r>
      <w:r>
        <w:t xml:space="preserve">sharing rate rather than the benchmark, which a period in which ACOs could move to ENHANCED without resetting would</w:t>
      </w:r>
      <w:r>
        <w:t xml:space="preserve"> </w:t>
      </w:r>
      <w:r>
        <w:t xml:space="preserve">separate.</w:t>
      </w:r>
    </w:p>
    <w:bookmarkEnd w:id="54"/>
    <w:bookmarkStart w:id="55" w:name="strengths-and-limitations"/>
    <w:p>
      <w:pPr>
        <w:pStyle w:val="Heading2"/>
      </w:pPr>
      <w:r>
        <w:t xml:space="preserve">Strengths and Limitations</w:t>
      </w:r>
    </w:p>
    <w:p>
      <w:pPr>
        <w:pStyle w:val="FirstParagraph"/>
      </w:pPr>
      <w:r>
        <w:t xml:space="preserve">The study’s strengths are in its design. The plan, decision rules and code were registered before any outcome data</w:t>
      </w:r>
      <w:r>
        <w:t xml:space="preserve"> </w:t>
      </w:r>
      <w:r>
        <w:t xml:space="preserve">were read, and the code enforced that order; the benchmark CMS does not publish was rebuilt from the regulation and</w:t>
      </w:r>
      <w:r>
        <w:t xml:space="preserve"> </w:t>
      </w:r>
      <w:r>
        <w:t xml:space="preserve">validated before use; the measurement error found in validation was carried into the decision model; and every</w:t>
      </w:r>
      <w:r>
        <w:t xml:space="preserve"> </w:t>
      </w:r>
      <w:r>
        <w:t xml:space="preserve">registered verdict agreed with its conventional frequentist counterpart. The code, data snapshot and results are</w:t>
      </w:r>
      <w:r>
        <w:t xml:space="preserve"> </w:t>
      </w:r>
      <w:r>
        <w:t xml:space="preserve">public, so every estimate can be rerun.</w:t>
      </w:r>
    </w:p>
    <w:p>
      <w:pPr>
        <w:pStyle w:val="BodyText"/>
      </w:pPr>
      <w:r>
        <w:t xml:space="preserve">It also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H2a and the total gain are weak evidence for any single ACO, and the regional</w:t>
      </w:r>
      <w:r>
        <w:t xml:space="preserve"> </w:t>
      </w:r>
      <w:r>
        <w:t xml:space="preserve">part could not be checked. Third, with 29 early renewers, 24 in the decision model, H3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H2a, H2b and H3 describe the larger ACOs. Fifth, H4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H2 and H3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  <w:r>
        <w:t xml:space="preserve"> </w:t>
      </w:r>
      <w:r>
        <w:t xml:space="preserve">Finally, the analysis reads its table without a fixed row order, so a rerun reproduces deterministic values exactly</w:t>
      </w:r>
      <w:r>
        <w:t xml:space="preserve"> </w:t>
      </w:r>
      <w:r>
        <w:t xml:space="preserve">but resampled and simulated values only within simulation error (for example, H1’s simulated power at the MDE was</w:t>
      </w:r>
      <w:r>
        <w:t xml:space="preserve"> </w:t>
      </w:r>
      <w:r>
        <w:t xml:space="preserve">80.4% as committed and 77.6% in a rerun from a fresh clone), far from changing any verdict.</w:t>
      </w:r>
    </w:p>
    <w:bookmarkEnd w:id="55"/>
    <w:bookmarkStart w:id="56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ACOs that renewed early into 2022 MSSP agreements more often had regions that spent more relative to their benchmarks</w:t>
      </w:r>
      <w:r>
        <w:t xml:space="preserve"> </w:t>
      </w:r>
      <w:r>
        <w:t xml:space="preserve">and were more often at higher BASIC levels, for which renewal opened the ENHANCED track. By the study’s</w:t>
      </w:r>
      <w:r>
        <w:t xml:space="preserve"> </w:t>
      </w:r>
      <w:r>
        <w:t xml:space="preserve">approximation, and in CMS’s published 2022 benchmarks examined post hoc, the reset did not on average raise their</w:t>
      </w:r>
      <w:r>
        <w:t xml:space="preserve"> </w:t>
      </w:r>
      <w:r>
        <w:t xml:space="preserve">benchmarks, and spending growth afterward showed no</w:t>
      </w:r>
      <w:r>
        <w:t xml:space="preserve"> </w:t>
      </w:r>
      <w:r>
        <w:t xml:space="preserve">detectable difference. These are associations under the 2022 rules, measured with public data under a preregistered</w:t>
      </w:r>
      <w:r>
        <w:t xml:space="preserve"> </w:t>
      </w:r>
      <w:r>
        <w:t xml:space="preserve">plan. They extend the evidence that ACOs sort on benchmark rules to the timing of resets and give a baseline for the</w:t>
      </w:r>
      <w:r>
        <w:t xml:space="preserve"> </w:t>
      </w:r>
      <w:r>
        <w:t xml:space="preserve">rules in force since 2024.</w:t>
      </w:r>
    </w:p>
    <w:bookmarkEnd w:id="56"/>
    <w:bookmarkEnd w:id="57"/>
    <w:bookmarkStart w:id="5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The author declared no financial support was received for this work.</w:t>
      </w:r>
    </w:p>
    <w:bookmarkEnd w:id="58"/>
    <w:bookmarkStart w:id="59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is employed as a data scientist at Indiana University Health. This study was conducted independently of</w:t>
      </w:r>
      <w:r>
        <w:t xml:space="preserve"> </w:t>
      </w:r>
      <w:r>
        <w:t xml:space="preserve">that employment, using only public data, and Indiana University Health had no role in its design, analysis,</w:t>
      </w:r>
      <w:r>
        <w:t xml:space="preserve"> </w:t>
      </w:r>
      <w:r>
        <w:t xml:space="preserve">interpretation or reporting. The author declares no other competing interests. The views expressed are the author’s</w:t>
      </w:r>
      <w:r>
        <w:t xml:space="preserve"> </w:t>
      </w:r>
      <w:r>
        <w:t xml:space="preserve">own and do not represent the official positions of Indiana University Health.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27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The list of the 40 files</w:t>
      </w:r>
      <w:r>
        <w:t xml:space="preserve"> </w:t>
      </w:r>
      <w:r>
        <w:t xml:space="preserve">downloaded, with sizes, SHA-256 hashes and URLs, and a script that downloads and verifies them are in the study</w:t>
      </w:r>
      <w:r>
        <w:t xml:space="preserve"> </w:t>
      </w:r>
      <w:r>
        <w:t xml:space="preserve">repository;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repository.</w:t>
      </w:r>
      <w:r>
        <w:t xml:space="preserve">[</w:t>
      </w:r>
      <w:hyperlink w:anchor="ref-paperrepo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 </w:t>
      </w:r>
      <w:r>
        <w:t xml:space="preserve">The registered</w:t>
      </w:r>
      <w:r>
        <w:t xml:space="preserve"> </w:t>
      </w:r>
      <w:r>
        <w:t xml:space="preserve">analysis code (commit a4064f5), its tests and step-by-step instructions to rerun and adapt the analysis are in the study repository.</w:t>
      </w:r>
      <w:r>
        <w:t xml:space="preserve">[</w:t>
      </w:r>
      <w:hyperlink w:anchor="ref-code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 longer account</w:t>
      </w:r>
      <w:r>
        <w:t xml:space="preserve"> </w:t>
      </w:r>
      <w:r>
        <w:t xml:space="preserve">of the study for a general audience was published online.</w:t>
      </w:r>
      <w:r>
        <w:t xml:space="preserve">[</w:t>
      </w:r>
      <w:hyperlink w:anchor="ref-post">
        <w:r>
          <w:rPr>
            <w:rStyle w:val="Hyperlink"/>
          </w:rPr>
          <w:t xml:space="preserve">61</w:t>
        </w:r>
      </w:hyperlink>
      <w:r>
        <w:t xml:space="preserve">]</w:t>
      </w:r>
    </w:p>
    <w:bookmarkEnd w:id="60"/>
    <w:bookmarkStart w:id="61" w:name="authors-contributions"/>
    <w:p>
      <w:pPr>
        <w:pStyle w:val="Heading1"/>
      </w:pPr>
      <w:r>
        <w:t xml:space="preserve">Authors’ Contributions</w:t>
      </w:r>
    </w:p>
    <w:p>
      <w:pPr>
        <w:pStyle w:val="FirstParagraph"/>
      </w:pPr>
      <w:r>
        <w:t xml:space="preserve">STH: conceptualization, data curation, formal analysis, investigation, methodology, software, validation,</w:t>
      </w:r>
      <w:r>
        <w:t xml:space="preserve"> </w:t>
      </w:r>
      <w:r>
        <w:t xml:space="preserve">visualization, writing (original draft) and writing (review and editing). STH is accountable for all aspects of the</w:t>
      </w:r>
      <w:r>
        <w:t xml:space="preserve"> </w:t>
      </w:r>
      <w:r>
        <w:t xml:space="preserve">work.</w:t>
      </w:r>
    </w:p>
    <w:bookmarkEnd w:id="61"/>
    <w:bookmarkStart w:id="62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ACO: accountable care organization</w:t>
      </w:r>
      <w:r>
        <w:br/>
      </w:r>
      <w:r>
        <w:t xml:space="preserve">CFR: Code of Federal Regulations</w:t>
      </w:r>
      <w:r>
        <w:br/>
      </w:r>
      <w:r>
        <w:t xml:space="preserve">CMS: Centers for Medicare &amp; Medicaid Services</w:t>
      </w:r>
      <w:r>
        <w:br/>
      </w:r>
      <w:r>
        <w:t xml:space="preserve">CrI: credible interval</w:t>
      </w:r>
      <w:r>
        <w:br/>
      </w:r>
      <w:r>
        <w:t xml:space="preserve">ESRD: end-stage renal disease</w:t>
      </w:r>
      <w:r>
        <w:br/>
      </w:r>
      <w:r>
        <w:t xml:space="preserve">MDE: minimum detectable effect</w:t>
      </w:r>
      <w:r>
        <w:br/>
      </w:r>
      <w:r>
        <w:t xml:space="preserve">MSSP: Medicare Shared Savings Program</w:t>
      </w:r>
      <w:r>
        <w:br/>
      </w:r>
      <w:r>
        <w:t xml:space="preserve">OSF: Open Science Framework</w:t>
      </w:r>
      <w:r>
        <w:br/>
      </w:r>
      <w:r>
        <w:t xml:space="preserve">PY: performance year</w:t>
      </w:r>
    </w:p>
    <w:bookmarkEnd w:id="62"/>
    <w:bookmarkStart w:id="185" w:name="references"/>
    <w:p>
      <w:pPr>
        <w:pStyle w:val="Heading1"/>
      </w:pPr>
      <w:r>
        <w:t xml:space="preserve">References</w:t>
      </w:r>
    </w:p>
    <w:bookmarkStart w:id="184" w:name="refs"/>
    <w:bookmarkStart w:id="64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63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64"/>
    <w:bookmarkStart w:id="66" w:name="ref-cfr42560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65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66"/>
    <w:bookmarkStart w:id="68" w:name="ref-mcwilliams2016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67">
        <w:r>
          <w:rPr>
            <w:rStyle w:val="Hyperlink"/>
          </w:rPr>
          <w:t xml:space="preserve">10.1056/nejmsa1600142</w:t>
        </w:r>
      </w:hyperlink>
    </w:p>
    <w:bookmarkEnd w:id="68"/>
    <w:bookmarkStart w:id="70" w:name="ref-mcwilliams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69">
        <w:r>
          <w:rPr>
            <w:rStyle w:val="Hyperlink"/>
          </w:rPr>
          <w:t xml:space="preserve">10.1056/nejmsa1803388</w:t>
        </w:r>
      </w:hyperlink>
    </w:p>
    <w:bookmarkEnd w:id="70"/>
    <w:bookmarkStart w:id="72" w:name="ref-bond2025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71">
        <w:r>
          <w:rPr>
            <w:rStyle w:val="Hyperlink"/>
          </w:rPr>
          <w:t xml:space="preserve">10.1001/jama.2025.3870</w:t>
        </w:r>
      </w:hyperlink>
    </w:p>
    <w:bookmarkEnd w:id="72"/>
    <w:bookmarkStart w:id="74" w:name="ref-mcwilliams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73">
        <w:r>
          <w:rPr>
            <w:rStyle w:val="Hyperlink"/>
          </w:rPr>
          <w:t xml:space="preserve">10.1111/1468-0009.12468</w:t>
        </w:r>
      </w:hyperlink>
    </w:p>
    <w:bookmarkEnd w:id="74"/>
    <w:bookmarkStart w:id="76" w:name="ref-markovitz2019exi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75">
        <w:r>
          <w:rPr>
            <w:rStyle w:val="Hyperlink"/>
          </w:rPr>
          <w:t xml:space="preserve">10.7326/m18-2539</w:t>
        </w:r>
      </w:hyperlink>
    </w:p>
    <w:bookmarkEnd w:id="76"/>
    <w:bookmarkStart w:id="78" w:name="ref-markovitz2019risk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77">
        <w:r>
          <w:rPr>
            <w:rStyle w:val="Hyperlink"/>
          </w:rPr>
          <w:t xml:space="preserve">10.1377/hlthaff.2018.05407</w:t>
        </w:r>
      </w:hyperlink>
    </w:p>
    <w:bookmarkEnd w:id="78"/>
    <w:bookmarkStart w:id="80" w:name="ref-douven2015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79">
        <w:r>
          <w:rPr>
            <w:rStyle w:val="Hyperlink"/>
          </w:rPr>
          <w:t xml:space="preserve">10.1377/hlthaff.2014.0444</w:t>
        </w:r>
      </w:hyperlink>
    </w:p>
    <w:bookmarkEnd w:id="80"/>
    <w:bookmarkStart w:id="82" w:name="ref-rose201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81">
        <w:r>
          <w:rPr>
            <w:rStyle w:val="Hyperlink"/>
          </w:rPr>
          <w:t xml:space="preserve">10.1377/hlthaff.2015.1026</w:t>
        </w:r>
      </w:hyperlink>
    </w:p>
    <w:bookmarkEnd w:id="82"/>
    <w:bookmarkStart w:id="84" w:name="ref-lyu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83">
        <w:r>
          <w:rPr>
            <w:rStyle w:val="Hyperlink"/>
          </w:rPr>
          <w:t xml:space="preserve">10.1377/hlthaff.2022.01061</w:t>
        </w:r>
      </w:hyperlink>
    </w:p>
    <w:bookmarkEnd w:id="84"/>
    <w:bookmarkStart w:id="86" w:name="ref-chen202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85">
        <w:r>
          <w:rPr>
            <w:rStyle w:val="Hyperlink"/>
          </w:rPr>
          <w:t xml:space="preserve">10.1086/726748</w:t>
        </w:r>
      </w:hyperlink>
    </w:p>
    <w:bookmarkEnd w:id="86"/>
    <w:bookmarkStart w:id="88" w:name="ref-srivastava202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87">
        <w:r>
          <w:rPr>
            <w:rStyle w:val="Hyperlink"/>
          </w:rPr>
          <w:t xml:space="preserve">10.1001/jamanetworkopen.2026.0166</w:t>
        </w:r>
      </w:hyperlink>
    </w:p>
    <w:bookmarkEnd w:id="88"/>
    <w:bookmarkStart w:id="90" w:name="ref-bleser2019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89">
        <w:r>
          <w:rPr>
            <w:rStyle w:val="Hyperlink"/>
          </w:rPr>
          <w:t xml:space="preserve">10.1377/hlthaff.2018.05097</w:t>
        </w:r>
      </w:hyperlink>
    </w:p>
    <w:bookmarkEnd w:id="90"/>
    <w:bookmarkStart w:id="92" w:name="ref-zhu2023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91">
        <w:r>
          <w:rPr>
            <w:rStyle w:val="Hyperlink"/>
          </w:rPr>
          <w:t xml:space="preserve">10.1111/jrh.12672</w:t>
        </w:r>
      </w:hyperlink>
    </w:p>
    <w:bookmarkEnd w:id="92"/>
    <w:bookmarkStart w:id="94" w:name="ref-ying2023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93">
        <w:r>
          <w:rPr>
            <w:rStyle w:val="Hyperlink"/>
          </w:rPr>
          <w:t xml:space="preserve">10.1007/s11606-022-07947-x</w:t>
        </w:r>
      </w:hyperlink>
    </w:p>
    <w:bookmarkEnd w:id="94"/>
    <w:bookmarkStart w:id="96" w:name="ref-ying2024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95">
        <w:r>
          <w:rPr>
            <w:rStyle w:val="Hyperlink"/>
          </w:rPr>
          <w:t xml:space="preserve">10.1093/haschl/qxad093</w:t>
        </w:r>
      </w:hyperlink>
    </w:p>
    <w:bookmarkEnd w:id="96"/>
    <w:bookmarkStart w:id="98" w:name="ref-moloci202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97">
        <w:r>
          <w:rPr>
            <w:rStyle w:val="Hyperlink"/>
          </w:rPr>
          <w:t xml:space="preserve">10.1007/s11606-020-06424-7</w:t>
        </w:r>
      </w:hyperlink>
    </w:p>
    <w:bookmarkEnd w:id="98"/>
    <w:bookmarkStart w:id="100" w:name="ref-trombley202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99">
        <w:r>
          <w:rPr>
            <w:rStyle w:val="Hyperlink"/>
          </w:rPr>
          <w:t xml:space="preserve">10.1377/hlthaff.2020.01819</w:t>
        </w:r>
      </w:hyperlink>
    </w:p>
    <w:bookmarkEnd w:id="100"/>
    <w:bookmarkStart w:id="102" w:name="ref-frpathway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101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102"/>
    <w:bookmarkStart w:id="104" w:name="ref-dataaco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103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104"/>
    <w:bookmarkStart w:id="106" w:name="ref-milliman2024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</w:t>
      </w:r>
      <w:r>
        <w:t xml:space="preserve"> </w:t>
      </w:r>
      <w:hyperlink r:id="rId105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106"/>
    <w:bookmarkStart w:id="108" w:name="ref-milliman2025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</w:t>
      </w:r>
      <w:r>
        <w:t xml:space="preserve"> </w:t>
      </w:r>
      <w:hyperlink r:id="rId107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108"/>
    <w:bookmarkStart w:id="109" w:name="ref-registration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109"/>
    <w:bookmarkStart w:id="111" w:name="ref-vonelm2007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110">
        <w:r>
          <w:rPr>
            <w:rStyle w:val="Hyperlink"/>
          </w:rPr>
          <w:t xml:space="preserve">10.1371/journal.pmed.0040296</w:t>
        </w:r>
      </w:hyperlink>
    </w:p>
    <w:bookmarkEnd w:id="111"/>
    <w:bookmarkStart w:id="113" w:name="ref-code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112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113"/>
    <w:bookmarkStart w:id="115" w:name="ref-dataresult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14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15"/>
    <w:bookmarkStart w:id="117" w:name="ref-datacounty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16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17"/>
    <w:bookmarkStart w:id="119" w:name="ref-dataassigned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18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19"/>
    <w:bookmarkStart w:id="121" w:name="ref-osfproject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20">
        <w:r>
          <w:rPr>
            <w:rStyle w:val="Hyperlink"/>
          </w:rPr>
          <w:t xml:space="preserve">10.17605/OSF.IO/Z4AN5</w:t>
        </w:r>
      </w:hyperlink>
    </w:p>
    <w:bookmarkEnd w:id="121"/>
    <w:bookmarkStart w:id="123" w:name="ref-suppression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22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23"/>
    <w:bookmarkStart w:id="125" w:name="ref-specv10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24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25"/>
    <w:bookmarkStart w:id="127" w:name="ref-cfr425600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</w:t>
      </w:r>
      <w:r>
        <w:t xml:space="preserve"> </w:t>
      </w:r>
      <w:hyperlink r:id="rId126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27"/>
    <w:bookmarkStart w:id="129" w:name="ref-rubin1981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28">
        <w:r>
          <w:rPr>
            <w:rStyle w:val="Hyperlink"/>
          </w:rPr>
          <w:t xml:space="preserve">10.1214/aos/1176345338</w:t>
        </w:r>
      </w:hyperlink>
    </w:p>
    <w:bookmarkEnd w:id="129"/>
    <w:bookmarkStart w:id="131" w:name="ref-phipson2010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30">
        <w:r>
          <w:rPr>
            <w:rStyle w:val="Hyperlink"/>
          </w:rPr>
          <w:t xml:space="preserve">10.2202/1544-6115.1585</w:t>
        </w:r>
      </w:hyperlink>
    </w:p>
    <w:bookmarkEnd w:id="131"/>
    <w:bookmarkStart w:id="133" w:name="ref-pymc2023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32">
        <w:r>
          <w:rPr>
            <w:rStyle w:val="Hyperlink"/>
          </w:rPr>
          <w:t xml:space="preserve">10.7717/peerj-cs.1516</w:t>
        </w:r>
      </w:hyperlink>
    </w:p>
    <w:bookmarkEnd w:id="133"/>
    <w:bookmarkStart w:id="135" w:name="ref-hoffman2014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34">
        <w:r>
          <w:rPr>
            <w:rStyle w:val="Hyperlink"/>
          </w:rPr>
          <w:t xml:space="preserve">https://jmlr.org/papers/v15/hoffman14a.html</w:t>
        </w:r>
      </w:hyperlink>
    </w:p>
    <w:bookmarkEnd w:id="135"/>
    <w:bookmarkStart w:id="137" w:name="ref-gelman2008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36">
        <w:r>
          <w:rPr>
            <w:rStyle w:val="Hyperlink"/>
          </w:rPr>
          <w:t xml:space="preserve">10.1002/sim.3107</w:t>
        </w:r>
      </w:hyperlink>
    </w:p>
    <w:bookmarkEnd w:id="137"/>
    <w:bookmarkStart w:id="139" w:name="ref-vehtari2021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38">
        <w:r>
          <w:rPr>
            <w:rStyle w:val="Hyperlink"/>
          </w:rPr>
          <w:t xml:space="preserve">10.1214/20-ba1221</w:t>
        </w:r>
      </w:hyperlink>
    </w:p>
    <w:bookmarkEnd w:id="139"/>
    <w:bookmarkStart w:id="141" w:name="ref-firth199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40">
        <w:r>
          <w:rPr>
            <w:rStyle w:val="Hyperlink"/>
          </w:rPr>
          <w:t xml:space="preserve">10.1093/biomet/80.1.27</w:t>
        </w:r>
      </w:hyperlink>
    </w:p>
    <w:bookmarkEnd w:id="141"/>
    <w:bookmarkStart w:id="143" w:name="ref-firthmodels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42">
        <w:r>
          <w:rPr>
            <w:rStyle w:val="Hyperlink"/>
          </w:rPr>
          <w:t xml:space="preserve">https://github.com/jzluo/firthmodels</w:t>
        </w:r>
      </w:hyperlink>
    </w:p>
    <w:bookmarkEnd w:id="143"/>
    <w:bookmarkStart w:id="145" w:name="ref-gelmanprior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44">
        <w:r>
          <w:rPr>
            <w:rStyle w:val="Hyperlink"/>
          </w:rPr>
          <w:t xml:space="preserve">10.1214/08-aoas191</w:t>
        </w:r>
      </w:hyperlink>
    </w:p>
    <w:bookmarkEnd w:id="145"/>
    <w:bookmarkStart w:id="147" w:name="ref-callaway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46">
        <w:r>
          <w:rPr>
            <w:rStyle w:val="Hyperlink"/>
          </w:rPr>
          <w:t xml:space="preserve">10.1016/j.jeconom.2020.12.001</w:t>
        </w:r>
      </w:hyperlink>
    </w:p>
    <w:bookmarkEnd w:id="147"/>
    <w:bookmarkStart w:id="149" w:name="ref-roth2022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48">
        <w:r>
          <w:rPr>
            <w:rStyle w:val="Hyperlink"/>
          </w:rPr>
          <w:t xml:space="preserve">10.1257/aeri.20210236</w:t>
        </w:r>
      </w:hyperlink>
    </w:p>
    <w:bookmarkEnd w:id="149"/>
    <w:bookmarkStart w:id="151" w:name="ref-lakens2017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50">
        <w:r>
          <w:rPr>
            <w:rStyle w:val="Hyperlink"/>
          </w:rPr>
          <w:t xml:space="preserve">10.1177/1948550617697177</w:t>
        </w:r>
      </w:hyperlink>
    </w:p>
    <w:bookmarkEnd w:id="151"/>
    <w:bookmarkStart w:id="153" w:name="ref-rambachan2023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52">
        <w:r>
          <w:rPr>
            <w:rStyle w:val="Hyperlink"/>
          </w:rPr>
          <w:t xml:space="preserve">10.1093/restud/rdad018</w:t>
        </w:r>
      </w:hyperlink>
    </w:p>
    <w:bookmarkEnd w:id="153"/>
    <w:bookmarkStart w:id="155" w:name="ref-rosenbaum1983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54">
        <w:r>
          <w:rPr>
            <w:rStyle w:val="Hyperlink"/>
          </w:rPr>
          <w:t xml:space="preserve">10.1093/biomet/70.1.41</w:t>
        </w:r>
      </w:hyperlink>
    </w:p>
    <w:bookmarkEnd w:id="155"/>
    <w:bookmarkStart w:id="157" w:name="ref-welch1947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56">
        <w:r>
          <w:rPr>
            <w:rStyle w:val="Hyperlink"/>
          </w:rPr>
          <w:t xml:space="preserve">10.1093/biomet/34.1-2.28</w:t>
        </w:r>
      </w:hyperlink>
    </w:p>
    <w:bookmarkEnd w:id="157"/>
    <w:bookmarkStart w:id="159" w:name="ref-mackinnon1985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58">
        <w:r>
          <w:rPr>
            <w:rStyle w:val="Hyperlink"/>
          </w:rPr>
          <w:t xml:space="preserve">10.1016/0304-4076(85)90158-7</w:t>
        </w:r>
      </w:hyperlink>
    </w:p>
    <w:bookmarkEnd w:id="159"/>
    <w:bookmarkStart w:id="161" w:name="ref-statsmodels2010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60">
        <w:r>
          <w:rPr>
            <w:rStyle w:val="Hyperlink"/>
          </w:rPr>
          <w:t xml:space="preserve">10.25080/majora-92bf1922-011</w:t>
        </w:r>
      </w:hyperlink>
    </w:p>
    <w:bookmarkEnd w:id="161"/>
    <w:bookmarkStart w:id="163" w:name="ref-dbt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62">
        <w:r>
          <w:rPr>
            <w:rStyle w:val="Hyperlink"/>
          </w:rPr>
          <w:t xml:space="preserve">https://github.com/dbt-labs/dbt-core</w:t>
        </w:r>
      </w:hyperlink>
    </w:p>
    <w:bookmarkEnd w:id="163"/>
    <w:bookmarkStart w:id="165" w:name="ref-duckdb2019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64">
        <w:r>
          <w:rPr>
            <w:rStyle w:val="Hyperlink"/>
          </w:rPr>
          <w:t xml:space="preserve">10.1145/3299869.3320212</w:t>
        </w:r>
      </w:hyperlink>
    </w:p>
    <w:bookmarkEnd w:id="165"/>
    <w:bookmarkStart w:id="167" w:name="ref-uv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66">
        <w:r>
          <w:rPr>
            <w:rStyle w:val="Hyperlink"/>
          </w:rPr>
          <w:t xml:space="preserve">https://github.com/astral-sh/uv</w:t>
        </w:r>
      </w:hyperlink>
    </w:p>
    <w:bookmarkEnd w:id="167"/>
    <w:bookmarkStart w:id="169" w:name="ref-arviz2019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68">
        <w:r>
          <w:rPr>
            <w:rStyle w:val="Hyperlink"/>
          </w:rPr>
          <w:t xml:space="preserve">10.21105/joss.01143</w:t>
        </w:r>
      </w:hyperlink>
    </w:p>
    <w:bookmarkEnd w:id="169"/>
    <w:bookmarkStart w:id="171" w:name="ref-numpy2020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70">
        <w:r>
          <w:rPr>
            <w:rStyle w:val="Hyperlink"/>
          </w:rPr>
          <w:t xml:space="preserve">10.1038/s41586-020-2649-2</w:t>
        </w:r>
      </w:hyperlink>
    </w:p>
    <w:bookmarkEnd w:id="171"/>
    <w:bookmarkStart w:id="173" w:name="ref-cfr46102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US Department of Health and Human Services. 45</w:t>
      </w:r>
      <w:r>
        <w:t xml:space="preserve"> </w:t>
      </w:r>
      <w:r>
        <w:t xml:space="preserve">CFR</w:t>
      </w:r>
      <w:r>
        <w:t xml:space="preserve"> </w:t>
      </w:r>
      <w:r>
        <w:t xml:space="preserve">46.102:</w:t>
      </w:r>
      <w:r>
        <w:t xml:space="preserve"> </w:t>
      </w:r>
      <w:r>
        <w:t xml:space="preserve">Definitions</w:t>
      </w:r>
      <w:r>
        <w:t xml:space="preserve"> </w:t>
      </w:r>
      <w:r>
        <w:t xml:space="preserve">for purposes of this policy. Published online 2026.</w:t>
      </w:r>
      <w:r>
        <w:t xml:space="preserve"> </w:t>
      </w:r>
      <w:hyperlink r:id="rId172">
        <w:r>
          <w:rPr>
            <w:rStyle w:val="Hyperlink"/>
          </w:rPr>
          <w:t xml:space="preserve">https://www.ecfr.gov/on/2026-10-01/title-45/subtitle-A/subchapter-A/part-46/subpart-A/section-46.102#p-46.102%28e%29%281%29</w:t>
        </w:r>
      </w:hyperlink>
    </w:p>
    <w:bookmarkEnd w:id="173"/>
    <w:bookmarkStart w:id="175" w:name="ref-gelmancarlin2014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74">
        <w:r>
          <w:rPr>
            <w:rStyle w:val="Hyperlink"/>
          </w:rPr>
          <w:t xml:space="preserve">10.1177/1745691614551642</w:t>
        </w:r>
      </w:hyperlink>
    </w:p>
    <w:bookmarkEnd w:id="175"/>
    <w:bookmarkStart w:id="177" w:name="ref-cfr2024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76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77"/>
    <w:bookmarkStart w:id="179" w:name="ref-aha2021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</w:t>
      </w:r>
      <w:r>
        <w:t xml:space="preserve"> </w:t>
      </w:r>
      <w:hyperlink r:id="rId178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79"/>
    <w:bookmarkStart w:id="181" w:name="ref-paperrepo"/>
    <w:p>
      <w:pPr>
        <w:pStyle w:val="Bibliography"/>
      </w:pPr>
      <w:r>
        <w:t xml:space="preserve">60.</w:t>
      </w:r>
      <w:r>
        <w:t xml:space="preserve"> </w:t>
      </w:r>
      <w:r>
        <w:t xml:space="preserve">	</w:t>
      </w:r>
      <w:r>
        <w:t xml:space="preserve">Harrold ST. Manuscript repository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study: Text, generated tables and figures, and committed results files. Published online 2026.</w:t>
      </w:r>
      <w:r>
        <w:t xml:space="preserve"> </w:t>
      </w:r>
      <w:hyperlink r:id="rId180">
        <w:r>
          <w:rPr>
            <w:rStyle w:val="Hyperlink"/>
          </w:rPr>
          <w:t xml:space="preserve">https://github.com/stharrold/mssp-paper-2026</w:t>
        </w:r>
      </w:hyperlink>
    </w:p>
    <w:bookmarkEnd w:id="181"/>
    <w:bookmarkStart w:id="183" w:name="ref-post"/>
    <w:p>
      <w:pPr>
        <w:pStyle w:val="Bibliography"/>
      </w:pPr>
      <w:r>
        <w:t xml:space="preserve">61.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82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hyperlink" Id="rId103" Target="https://data.cms.gov/medicare-shared-savings-program/accountable-care-organizations" TargetMode="External" /><Relationship Type="http://schemas.openxmlformats.org/officeDocument/2006/relationships/hyperlink" Id="rId116" Target="https://data.cms.gov/medicare-shared-savings-program/county-level-aggregate-expenditure-and-risk-score-data-on-assignable-beneficiaries" TargetMode="External" /><Relationship Type="http://schemas.openxmlformats.org/officeDocument/2006/relationships/hyperlink" Id="rId118" Target="https://data.cms.gov/medicare-shared-savings-program/number-of-accountable-care-organization-assigned-beneficiaries-by-county" TargetMode="External" /><Relationship Type="http://schemas.openxmlformats.org/officeDocument/2006/relationships/hyperlink" Id="rId114" Target="https://data.cms.gov/medicare-shared-savings-program/performance-year-financial-and-quality-results" TargetMode="External" /><Relationship Type="http://schemas.openxmlformats.org/officeDocument/2006/relationships/hyperlink" Id="rId71" Target="https://doi.org/10.1001/jama.2025.3870" TargetMode="External" /><Relationship Type="http://schemas.openxmlformats.org/officeDocument/2006/relationships/hyperlink" Id="rId87" Target="https://doi.org/10.1001/jamanetworkopen.2026.0166" TargetMode="External" /><Relationship Type="http://schemas.openxmlformats.org/officeDocument/2006/relationships/hyperlink" Id="rId136" Target="https://doi.org/10.1002/sim.3107" TargetMode="External" /><Relationship Type="http://schemas.openxmlformats.org/officeDocument/2006/relationships/hyperlink" Id="rId97" Target="https://doi.org/10.1007/s11606-020-06424-7" TargetMode="External" /><Relationship Type="http://schemas.openxmlformats.org/officeDocument/2006/relationships/hyperlink" Id="rId93" Target="https://doi.org/10.1007/s11606-022-07947-x" TargetMode="External" /><Relationship Type="http://schemas.openxmlformats.org/officeDocument/2006/relationships/hyperlink" Id="rId158" Target="https://doi.org/10.1016/0304-4076(85)90158-7" TargetMode="External" /><Relationship Type="http://schemas.openxmlformats.org/officeDocument/2006/relationships/hyperlink" Id="rId146" Target="https://doi.org/10.1016/j.jeconom.2020.12.001" TargetMode="External" /><Relationship Type="http://schemas.openxmlformats.org/officeDocument/2006/relationships/hyperlink" Id="rId170" Target="https://doi.org/10.1038/s41586-020-2649-2" TargetMode="External" /><Relationship Type="http://schemas.openxmlformats.org/officeDocument/2006/relationships/hyperlink" Id="rId67" Target="https://doi.org/10.1056/nejmsa1600142" TargetMode="External" /><Relationship Type="http://schemas.openxmlformats.org/officeDocument/2006/relationships/hyperlink" Id="rId69" Target="https://doi.org/10.1056/nejmsa1803388" TargetMode="External" /><Relationship Type="http://schemas.openxmlformats.org/officeDocument/2006/relationships/hyperlink" Id="rId85" Target="https://doi.org/10.1086/726748" TargetMode="External" /><Relationship Type="http://schemas.openxmlformats.org/officeDocument/2006/relationships/hyperlink" Id="rId156" Target="https://doi.org/10.1093/biomet/34.1-2.28" TargetMode="External" /><Relationship Type="http://schemas.openxmlformats.org/officeDocument/2006/relationships/hyperlink" Id="rId154" Target="https://doi.org/10.1093/biomet/70.1.41" TargetMode="External" /><Relationship Type="http://schemas.openxmlformats.org/officeDocument/2006/relationships/hyperlink" Id="rId140" Target="https://doi.org/10.1093/biomet/80.1.27" TargetMode="External" /><Relationship Type="http://schemas.openxmlformats.org/officeDocument/2006/relationships/hyperlink" Id="rId95" Target="https://doi.org/10.1093/haschl/qxad093" TargetMode="External" /><Relationship Type="http://schemas.openxmlformats.org/officeDocument/2006/relationships/hyperlink" Id="rId152" Target="https://doi.org/10.1093/restud/rdad018" TargetMode="External" /><Relationship Type="http://schemas.openxmlformats.org/officeDocument/2006/relationships/hyperlink" Id="rId73" Target="https://doi.org/10.1111/1468-0009.12468" TargetMode="External" /><Relationship Type="http://schemas.openxmlformats.org/officeDocument/2006/relationships/hyperlink" Id="rId91" Target="https://doi.org/10.1111/jrh.12672" TargetMode="External" /><Relationship Type="http://schemas.openxmlformats.org/officeDocument/2006/relationships/hyperlink" Id="rId164" Target="https://doi.org/10.1145/3299869.3320212" TargetMode="External" /><Relationship Type="http://schemas.openxmlformats.org/officeDocument/2006/relationships/hyperlink" Id="rId174" Target="https://doi.org/10.1177/1745691614551642" TargetMode="External" /><Relationship Type="http://schemas.openxmlformats.org/officeDocument/2006/relationships/hyperlink" Id="rId150" Target="https://doi.org/10.1177/1948550617697177" TargetMode="External" /><Relationship Type="http://schemas.openxmlformats.org/officeDocument/2006/relationships/hyperlink" Id="rId144" Target="https://doi.org/10.1214/08-aoas191" TargetMode="External" /><Relationship Type="http://schemas.openxmlformats.org/officeDocument/2006/relationships/hyperlink" Id="rId138" Target="https://doi.org/10.1214/20-ba1221" TargetMode="External" /><Relationship Type="http://schemas.openxmlformats.org/officeDocument/2006/relationships/hyperlink" Id="rId128" Target="https://doi.org/10.1214/aos/1176345338" TargetMode="External" /><Relationship Type="http://schemas.openxmlformats.org/officeDocument/2006/relationships/hyperlink" Id="rId148" Target="https://doi.org/10.1257/aeri.20210236" TargetMode="External" /><Relationship Type="http://schemas.openxmlformats.org/officeDocument/2006/relationships/hyperlink" Id="rId110" Target="https://doi.org/10.1371/journal.pmed.0040296" TargetMode="External" /><Relationship Type="http://schemas.openxmlformats.org/officeDocument/2006/relationships/hyperlink" Id="rId79" Target="https://doi.org/10.1377/hlthaff.2014.0444" TargetMode="External" /><Relationship Type="http://schemas.openxmlformats.org/officeDocument/2006/relationships/hyperlink" Id="rId81" Target="https://doi.org/10.1377/hlthaff.2015.1026" TargetMode="External" /><Relationship Type="http://schemas.openxmlformats.org/officeDocument/2006/relationships/hyperlink" Id="rId89" Target="https://doi.org/10.1377/hlthaff.2018.05097" TargetMode="External" /><Relationship Type="http://schemas.openxmlformats.org/officeDocument/2006/relationships/hyperlink" Id="rId77" Target="https://doi.org/10.1377/hlthaff.2018.05407" TargetMode="External" /><Relationship Type="http://schemas.openxmlformats.org/officeDocument/2006/relationships/hyperlink" Id="rId99" Target="https://doi.org/10.1377/hlthaff.2020.01819" TargetMode="External" /><Relationship Type="http://schemas.openxmlformats.org/officeDocument/2006/relationships/hyperlink" Id="rId83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0" Target="https://doi.org/10.17605/OSF.IO/Z4AN5" TargetMode="External" /><Relationship Type="http://schemas.openxmlformats.org/officeDocument/2006/relationships/hyperlink" Id="rId168" Target="https://doi.org/10.21105/joss.01143" TargetMode="External" /><Relationship Type="http://schemas.openxmlformats.org/officeDocument/2006/relationships/hyperlink" Id="rId130" Target="https://doi.org/10.2202/1544-6115.1585" TargetMode="External" /><Relationship Type="http://schemas.openxmlformats.org/officeDocument/2006/relationships/hyperlink" Id="rId160" Target="https://doi.org/10.25080/majora-92bf1922-011" TargetMode="External" /><Relationship Type="http://schemas.openxmlformats.org/officeDocument/2006/relationships/hyperlink" Id="rId75" Target="https://doi.org/10.7326/m18-2539" TargetMode="External" /><Relationship Type="http://schemas.openxmlformats.org/officeDocument/2006/relationships/hyperlink" Id="rId132" Target="https://doi.org/10.7717/peerj-cs.1516" TargetMode="External" /><Relationship Type="http://schemas.openxmlformats.org/officeDocument/2006/relationships/hyperlink" Id="rId107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66" Target="https://github.com/astral-sh/uv" TargetMode="External" /><Relationship Type="http://schemas.openxmlformats.org/officeDocument/2006/relationships/hyperlink" Id="rId162" Target="https://github.com/dbt-labs/dbt-core" TargetMode="External" /><Relationship Type="http://schemas.openxmlformats.org/officeDocument/2006/relationships/hyperlink" Id="rId142" Target="https://github.com/jzluo/firthmodels" TargetMode="External" /><Relationship Type="http://schemas.openxmlformats.org/officeDocument/2006/relationships/hyperlink" Id="rId180" Target="https://github.com/stharrold/mssp-paper-2026" TargetMode="External" /><Relationship Type="http://schemas.openxmlformats.org/officeDocument/2006/relationships/hyperlink" Id="rId112" Target="https://github.com/stharrold/stharrold.github.io/tree/a4064f592a492d971ce3c27e95afb3050e6bc01d/analysis/mssp-benchmark-ratchet" TargetMode="External" /><Relationship Type="http://schemas.openxmlformats.org/officeDocument/2006/relationships/hyperlink" Id="rId134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82" Target="https://stharrold.github.io/20261027-preregistered-mssp-early-renewal.html" TargetMode="External" /><Relationship Type="http://schemas.openxmlformats.org/officeDocument/2006/relationships/hyperlink" Id="rId122" Target="https://web.archive.org/web/20250516214605/https://www.hhs.gov/guidance/document/cms-cell-suppression-policy" TargetMode="External" /><Relationship Type="http://schemas.openxmlformats.org/officeDocument/2006/relationships/hyperlink" Id="rId178" Target="https://www.aha.org/lettercomment/2021-10-14-aha-others-cms-re-request-provide-mssp-acos-option-use-pre-pandemic-years" TargetMode="External" /><Relationship Type="http://schemas.openxmlformats.org/officeDocument/2006/relationships/hyperlink" Id="rId124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26" Target="https://www.ecfr.gov/on/2022-01-01/title-42/chapter-IV/subchapter-B/part-425/subpart-G/section-425.600#p-425.600%28d%29" TargetMode="External" /><Relationship Type="http://schemas.openxmlformats.org/officeDocument/2006/relationships/hyperlink" Id="rId65" Target="https://www.ecfr.gov/on/2022-01-01/title-42/chapter-IV/subchapter-B/part-425/subpart-G/section-425.601" TargetMode="External" /><Relationship Type="http://schemas.openxmlformats.org/officeDocument/2006/relationships/hyperlink" Id="rId176" Target="https://www.ecfr.gov/on/2024-01-01/title-42/chapter-IV/subchapter-B/part-425/subpart-G/section-425.652" TargetMode="External" /><Relationship Type="http://schemas.openxmlformats.org/officeDocument/2006/relationships/hyperlink" Id="rId172" Target="https://www.ecfr.gov/on/2026-10-01/title-45/subtitle-A/subchapter-A/part-46/subpart-A/section-46.102#p-46.102%28e%29%281%29" TargetMode="External" /><Relationship Type="http://schemas.openxmlformats.org/officeDocument/2006/relationships/hyperlink" Id="rId101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5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data.cms.gov/medicare-shared-savings-program/accountable-care-organizations" TargetMode="External" /><Relationship Type="http://schemas.openxmlformats.org/officeDocument/2006/relationships/hyperlink" Id="rId116" Target="https://data.cms.gov/medicare-shared-savings-program/county-level-aggregate-expenditure-and-risk-score-data-on-assignable-beneficiaries" TargetMode="External" /><Relationship Type="http://schemas.openxmlformats.org/officeDocument/2006/relationships/hyperlink" Id="rId118" Target="https://data.cms.gov/medicare-shared-savings-program/number-of-accountable-care-organization-assigned-beneficiaries-by-county" TargetMode="External" /><Relationship Type="http://schemas.openxmlformats.org/officeDocument/2006/relationships/hyperlink" Id="rId114" Target="https://data.cms.gov/medicare-shared-savings-program/performance-year-financial-and-quality-results" TargetMode="External" /><Relationship Type="http://schemas.openxmlformats.org/officeDocument/2006/relationships/hyperlink" Id="rId71" Target="https://doi.org/10.1001/jama.2025.3870" TargetMode="External" /><Relationship Type="http://schemas.openxmlformats.org/officeDocument/2006/relationships/hyperlink" Id="rId87" Target="https://doi.org/10.1001/jamanetworkopen.2026.0166" TargetMode="External" /><Relationship Type="http://schemas.openxmlformats.org/officeDocument/2006/relationships/hyperlink" Id="rId136" Target="https://doi.org/10.1002/sim.3107" TargetMode="External" /><Relationship Type="http://schemas.openxmlformats.org/officeDocument/2006/relationships/hyperlink" Id="rId97" Target="https://doi.org/10.1007/s11606-020-06424-7" TargetMode="External" /><Relationship Type="http://schemas.openxmlformats.org/officeDocument/2006/relationships/hyperlink" Id="rId93" Target="https://doi.org/10.1007/s11606-022-07947-x" TargetMode="External" /><Relationship Type="http://schemas.openxmlformats.org/officeDocument/2006/relationships/hyperlink" Id="rId158" Target="https://doi.org/10.1016/0304-4076(85)90158-7" TargetMode="External" /><Relationship Type="http://schemas.openxmlformats.org/officeDocument/2006/relationships/hyperlink" Id="rId146" Target="https://doi.org/10.1016/j.jeconom.2020.12.001" TargetMode="External" /><Relationship Type="http://schemas.openxmlformats.org/officeDocument/2006/relationships/hyperlink" Id="rId170" Target="https://doi.org/10.1038/s41586-020-2649-2" TargetMode="External" /><Relationship Type="http://schemas.openxmlformats.org/officeDocument/2006/relationships/hyperlink" Id="rId67" Target="https://doi.org/10.1056/nejmsa1600142" TargetMode="External" /><Relationship Type="http://schemas.openxmlformats.org/officeDocument/2006/relationships/hyperlink" Id="rId69" Target="https://doi.org/10.1056/nejmsa1803388" TargetMode="External" /><Relationship Type="http://schemas.openxmlformats.org/officeDocument/2006/relationships/hyperlink" Id="rId85" Target="https://doi.org/10.1086/726748" TargetMode="External" /><Relationship Type="http://schemas.openxmlformats.org/officeDocument/2006/relationships/hyperlink" Id="rId156" Target="https://doi.org/10.1093/biomet/34.1-2.28" TargetMode="External" /><Relationship Type="http://schemas.openxmlformats.org/officeDocument/2006/relationships/hyperlink" Id="rId154" Target="https://doi.org/10.1093/biomet/70.1.41" TargetMode="External" /><Relationship Type="http://schemas.openxmlformats.org/officeDocument/2006/relationships/hyperlink" Id="rId140" Target="https://doi.org/10.1093/biomet/80.1.27" TargetMode="External" /><Relationship Type="http://schemas.openxmlformats.org/officeDocument/2006/relationships/hyperlink" Id="rId95" Target="https://doi.org/10.1093/haschl/qxad093" TargetMode="External" /><Relationship Type="http://schemas.openxmlformats.org/officeDocument/2006/relationships/hyperlink" Id="rId152" Target="https://doi.org/10.1093/restud/rdad018" TargetMode="External" /><Relationship Type="http://schemas.openxmlformats.org/officeDocument/2006/relationships/hyperlink" Id="rId73" Target="https://doi.org/10.1111/1468-0009.12468" TargetMode="External" /><Relationship Type="http://schemas.openxmlformats.org/officeDocument/2006/relationships/hyperlink" Id="rId91" Target="https://doi.org/10.1111/jrh.12672" TargetMode="External" /><Relationship Type="http://schemas.openxmlformats.org/officeDocument/2006/relationships/hyperlink" Id="rId164" Target="https://doi.org/10.1145/3299869.3320212" TargetMode="External" /><Relationship Type="http://schemas.openxmlformats.org/officeDocument/2006/relationships/hyperlink" Id="rId174" Target="https://doi.org/10.1177/1745691614551642" TargetMode="External" /><Relationship Type="http://schemas.openxmlformats.org/officeDocument/2006/relationships/hyperlink" Id="rId150" Target="https://doi.org/10.1177/1948550617697177" TargetMode="External" /><Relationship Type="http://schemas.openxmlformats.org/officeDocument/2006/relationships/hyperlink" Id="rId144" Target="https://doi.org/10.1214/08-aoas191" TargetMode="External" /><Relationship Type="http://schemas.openxmlformats.org/officeDocument/2006/relationships/hyperlink" Id="rId138" Target="https://doi.org/10.1214/20-ba1221" TargetMode="External" /><Relationship Type="http://schemas.openxmlformats.org/officeDocument/2006/relationships/hyperlink" Id="rId128" Target="https://doi.org/10.1214/aos/1176345338" TargetMode="External" /><Relationship Type="http://schemas.openxmlformats.org/officeDocument/2006/relationships/hyperlink" Id="rId148" Target="https://doi.org/10.1257/aeri.20210236" TargetMode="External" /><Relationship Type="http://schemas.openxmlformats.org/officeDocument/2006/relationships/hyperlink" Id="rId110" Target="https://doi.org/10.1371/journal.pmed.0040296" TargetMode="External" /><Relationship Type="http://schemas.openxmlformats.org/officeDocument/2006/relationships/hyperlink" Id="rId79" Target="https://doi.org/10.1377/hlthaff.2014.0444" TargetMode="External" /><Relationship Type="http://schemas.openxmlformats.org/officeDocument/2006/relationships/hyperlink" Id="rId81" Target="https://doi.org/10.1377/hlthaff.2015.1026" TargetMode="External" /><Relationship Type="http://schemas.openxmlformats.org/officeDocument/2006/relationships/hyperlink" Id="rId89" Target="https://doi.org/10.1377/hlthaff.2018.05097" TargetMode="External" /><Relationship Type="http://schemas.openxmlformats.org/officeDocument/2006/relationships/hyperlink" Id="rId77" Target="https://doi.org/10.1377/hlthaff.2018.05407" TargetMode="External" /><Relationship Type="http://schemas.openxmlformats.org/officeDocument/2006/relationships/hyperlink" Id="rId99" Target="https://doi.org/10.1377/hlthaff.2020.01819" TargetMode="External" /><Relationship Type="http://schemas.openxmlformats.org/officeDocument/2006/relationships/hyperlink" Id="rId83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0" Target="https://doi.org/10.17605/OSF.IO/Z4AN5" TargetMode="External" /><Relationship Type="http://schemas.openxmlformats.org/officeDocument/2006/relationships/hyperlink" Id="rId168" Target="https://doi.org/10.21105/joss.01143" TargetMode="External" /><Relationship Type="http://schemas.openxmlformats.org/officeDocument/2006/relationships/hyperlink" Id="rId130" Target="https://doi.org/10.2202/1544-6115.1585" TargetMode="External" /><Relationship Type="http://schemas.openxmlformats.org/officeDocument/2006/relationships/hyperlink" Id="rId160" Target="https://doi.org/10.25080/majora-92bf1922-011" TargetMode="External" /><Relationship Type="http://schemas.openxmlformats.org/officeDocument/2006/relationships/hyperlink" Id="rId75" Target="https://doi.org/10.7326/m18-2539" TargetMode="External" /><Relationship Type="http://schemas.openxmlformats.org/officeDocument/2006/relationships/hyperlink" Id="rId132" Target="https://doi.org/10.7717/peerj-cs.1516" TargetMode="External" /><Relationship Type="http://schemas.openxmlformats.org/officeDocument/2006/relationships/hyperlink" Id="rId107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66" Target="https://github.com/astral-sh/uv" TargetMode="External" /><Relationship Type="http://schemas.openxmlformats.org/officeDocument/2006/relationships/hyperlink" Id="rId162" Target="https://github.com/dbt-labs/dbt-core" TargetMode="External" /><Relationship Type="http://schemas.openxmlformats.org/officeDocument/2006/relationships/hyperlink" Id="rId142" Target="https://github.com/jzluo/firthmodels" TargetMode="External" /><Relationship Type="http://schemas.openxmlformats.org/officeDocument/2006/relationships/hyperlink" Id="rId180" Target="https://github.com/stharrold/mssp-paper-2026" TargetMode="External" /><Relationship Type="http://schemas.openxmlformats.org/officeDocument/2006/relationships/hyperlink" Id="rId112" Target="https://github.com/stharrold/stharrold.github.io/tree/a4064f592a492d971ce3c27e95afb3050e6bc01d/analysis/mssp-benchmark-ratchet" TargetMode="External" /><Relationship Type="http://schemas.openxmlformats.org/officeDocument/2006/relationships/hyperlink" Id="rId134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82" Target="https://stharrold.github.io/20261027-preregistered-mssp-early-renewal.html" TargetMode="External" /><Relationship Type="http://schemas.openxmlformats.org/officeDocument/2006/relationships/hyperlink" Id="rId122" Target="https://web.archive.org/web/20250516214605/https://www.hhs.gov/guidance/document/cms-cell-suppression-policy" TargetMode="External" /><Relationship Type="http://schemas.openxmlformats.org/officeDocument/2006/relationships/hyperlink" Id="rId178" Target="https://www.aha.org/lettercomment/2021-10-14-aha-others-cms-re-request-provide-mssp-acos-option-use-pre-pandemic-years" TargetMode="External" /><Relationship Type="http://schemas.openxmlformats.org/officeDocument/2006/relationships/hyperlink" Id="rId124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26" Target="https://www.ecfr.gov/on/2022-01-01/title-42/chapter-IV/subchapter-B/part-425/subpart-G/section-425.600#p-425.600%28d%29" TargetMode="External" /><Relationship Type="http://schemas.openxmlformats.org/officeDocument/2006/relationships/hyperlink" Id="rId65" Target="https://www.ecfr.gov/on/2022-01-01/title-42/chapter-IV/subchapter-B/part-425/subpart-G/section-425.601" TargetMode="External" /><Relationship Type="http://schemas.openxmlformats.org/officeDocument/2006/relationships/hyperlink" Id="rId176" Target="https://www.ecfr.gov/on/2024-01-01/title-42/chapter-IV/subchapter-B/part-425/subpart-G/section-425.652" TargetMode="External" /><Relationship Type="http://schemas.openxmlformats.org/officeDocument/2006/relationships/hyperlink" Id="rId172" Target="https://www.ecfr.gov/on/2026-10-01/title-45/subtitle-A/subchapter-A/part-46/subpart-A/section-46.102#p-46.102%28e%29%281%29" TargetMode="External" /><Relationship Type="http://schemas.openxmlformats.org/officeDocument/2006/relationships/hyperlink" Id="rId101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5" Target="https://www.milliman.com/-/media/milliman/pdfs/2024-articles/4-2-24_medicare_shared_savings_program_aco_financial_results_for_2022.ashx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2026-10-28T13:57:57Z</dcterms:created>
  <dcterms:modified xsi:type="dcterms:W3CDTF">2026-10-28T13:57:57Z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