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 2. STROBE checklist. 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Items of the STROBE statement for cohort studies,</w:t>
      </w:r>
      <w:r>
        <w:t xml:space="preserve">[</w:t>
      </w:r>
      <w:hyperlink w:anchor="ref-vonelm2007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with the place each is reported in the manuscript or in Multimedia Appendix 1 (eTables and eMethods).</w:t>
      </w:r>
    </w:p>
    <w:p>
      <w:pPr>
        <w:pStyle w:val="TableCaption"/>
      </w:pPr>
      <w:r>
        <w:t xml:space="preserve">STROBE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ROBE checklist"/>
      </w:tblPr>
      <w:tblGrid>
        <w:gridCol w:w="1584"/>
        <w:gridCol w:w="731"/>
        <w:gridCol w:w="2558"/>
        <w:gridCol w:w="30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 (abbreviated)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design; give an informative, balanced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 (preregistered retrospective cohort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Background/rationale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objectives and prespecified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4; Methods,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elements of the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dates of recruitment, exposure, follow-up, 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Population and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criteria, sources and methods of selection;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Groups; 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outcomes, exposures, predictors, confounders, effect 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Sources/measurement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and methods of measurement; 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Variables (Validation Before Use); eTable 1; eTable 12 (post hoc, change scale)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 (outcome lock), Statistical Analysis (equivalence condition); 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 (all eligible ACOs); Power; eTable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quantitative variables were handled; groupings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Statistical Analysis (scaling by 2 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Statistical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statistical methods, including for confounding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for subgroups and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registered; single-cohort restrictions in eTables 3-4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missing data were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 (Suppressed Values);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loss to follow-up was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 (not yet renewed; balanced panel); eTable 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Covariate-Adjusted Estimates, Conventional Methods, and Robustness; eTables 3-6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Reasons for nonparticipation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Descriptive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participants; exposures and confounders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(group, cohort, track, case mix, savings rate, constructed variables); the H3 adjustment factors (size, revenue category, assignment method, agreement number) are not in the results files and are not tabulated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with missing data for each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1; Figure 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eTable 8 (mean included post-period years by group)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of outcome events or summary measures over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renewal: 29 of 306 compared ACOs (Table 1), 24 of 206 in H3 (Table 3); spending over time: eTable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Unadjusted and 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2-4; Figures 2-4; eTables 3, 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boundaries for continuous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(continuous variables not categorized)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 of relative risk into absolute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(odds multiplier; dollar translation); eTable 5 (observed and predicted shares by decile)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analyses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Subgroups, interactions and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Results, Robustness and Conventional Methods; eTables 3-11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 key results with reference to objectives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Principal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potential bias or imprecision; direction and magnitude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overall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Implications (2024 rules);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 and role of funders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</w:tr>
    </w:tbl>
    <w:bookmarkStart w:id="12" w:name="references"/>
    <w:p>
      <w:pPr>
        <w:pStyle w:val="Heading1"/>
      </w:pPr>
      <w:r>
        <w:t xml:space="preserve">References</w:t>
      </w:r>
    </w:p>
    <w:bookmarkStart w:id="11" w:name="refs"/>
    <w:bookmarkStart w:id="10" w:name="ref-vonelm2007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9">
        <w:r>
          <w:rPr>
            <w:rStyle w:val="Hyperlink"/>
          </w:rPr>
          <w:t xml:space="preserve">10.1371/journal.pmed.0040296</w:t>
        </w:r>
      </w:hyperlink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371/journal.pmed.00402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371/journal.pmed.00402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 2. STROBE checklist. 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2026-10-28T13:58:05Z</dcterms:created>
  <dcterms:modified xsi:type="dcterms:W3CDTF">2026-10-28T13:58:05Z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