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w:t>
      </w:r>
      <w:r>
        <w:t xml:space="preserve"> </w:t>
      </w:r>
      <w:r>
        <w:t xml:space="preserve">sooner and was a BASIC-track ACO’s only way to reach the ENHANCED track’s 75% share of savings without leaving the program or waiting out its agreement. No peer-reviewed</w:t>
      </w:r>
      <w:r>
        <w:t xml:space="preserve"> </w:t>
      </w:r>
      <w:r>
        <w:t xml:space="preserve">study has examined why. This study asked which ACOs renewed early, weighing a reset motive (a higher benchmark)</w:t>
      </w:r>
      <w:r>
        <w:t xml:space="preserve"> </w:t>
      </w:r>
      <w:r>
        <w:t xml:space="preserve">against a sharing-rate motive, and whether spending 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29 ACOs renewing</w:t>
      </w:r>
      <w:r>
        <w:t xml:space="preserve"> </w:t>
      </w:r>
      <w:r>
        <w:t xml:space="preserve">early in January 2022 were compared with 277 stayers on the regional pull (primary), the own-spending component and</w:t>
      </w:r>
      <w:r>
        <w:t xml:space="preserve"> </w:t>
      </w:r>
      <w:r>
        <w:t xml:space="preserve">BASIC risk level, by Bayesian bootstrap, permutation tests and logistic regression. Spending growth in 2022-2024 was</w:t>
      </w:r>
      <w:r>
        <w:t xml:space="preserve"> </w:t>
      </w:r>
      <w:r>
        <w:t xml:space="preserve">compared by difference-in-differences.</w:t>
      </w:r>
    </w:p>
    <w:p>
      <w:pPr>
        <w:pStyle w:val="BodyText"/>
      </w:pPr>
      <w:r>
        <w:rPr>
          <w:b/>
          <w:bCs/>
        </w:rPr>
        <w:t xml:space="preserve">Results:</w:t>
      </w:r>
      <w:r>
        <w:t xml:space="preserve"> </w:t>
      </w:r>
      <w:r>
        <w:t xml:space="preserve">The rebuilt benchmark tracked the published one (ρ=0.94). Early renewers’ regional pull was 3.4</w:t>
      </w:r>
      <w:r>
        <w:t xml:space="preserve"> </w:t>
      </w:r>
      <w:r>
        <w:t xml:space="preserve">percentage points higher than stayers’ (95% credible interval [CrI], 1.7 to 5.4;</w:t>
      </w:r>
      <w:r>
        <w:t xml:space="preserve"> </w:t>
      </w:r>
      <w:r>
        <w:rPr>
          <w:i/>
          <w:iCs/>
        </w:rPr>
        <w:t xml:space="preserve">P</w:t>
      </w:r>
      <w:r>
        <w:t xml:space="preserve">&lt;.001), but they also beat their</w:t>
      </w:r>
      <w:r>
        <w:t xml:space="preserve"> </w:t>
      </w:r>
      <w:r>
        <w:t xml:space="preserve">benchmarks by more (own-spending component, −2.1 points; 95% CrI, −3.8 to −0.5), and the total expected gain did not</w:t>
      </w:r>
      <w:r>
        <w:t xml:space="preserve"> </w:t>
      </w:r>
      <w:r>
        <w:t xml:space="preserve">differ (−0.5 points; 95% CrI, −2.0 to 0.8). Post hoc, early renewers’ published 2022 benchmarks averaged 1.3% below</w:t>
      </w:r>
      <w:r>
        <w:t xml:space="preserve"> </w:t>
      </w:r>
      <w:r>
        <w:t xml:space="preserve">2021. Among 206 BASIC-track ACOs, a higher regional pull and BASIC level were associated with early renewal; 26 of all</w:t>
      </w:r>
      <w:r>
        <w:t xml:space="preserve"> </w:t>
      </w:r>
      <w:r>
        <w:t xml:space="preserve">27 BASIC-track early renewers moved to ENHANCED. Spending growth did not differ detectably (−0.4%; 95% CrI, −4.0% to</w:t>
      </w:r>
      <w:r>
        <w:t xml:space="preserve"> </w:t>
      </w:r>
      <w:r>
        <w:t xml:space="preserve">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benchmarks. This fits the sharing-rate motive better, though the</w:t>
      </w:r>
      <w:r>
        <w:t xml:space="preserve"> </w:t>
      </w:r>
      <w:r>
        <w:t xml:space="preserve">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growing with tenure</w:t>
      </w:r>
      <w:r>
        <w:t xml:space="preserve">[</w:t>
      </w:r>
      <w:hyperlink w:anchor="ref-mcwilliams2018">
        <w:r>
          <w:rPr>
            <w:rStyle w:val="Hyperlink"/>
          </w:rPr>
          <w:t xml:space="preserve">5</w:t>
        </w:r>
      </w:hyperlink>
      <w:r>
        <w:t xml:space="preserve">,</w:t>
      </w:r>
      <w:r>
        <w:t xml:space="preserve"> </w:t>
      </w:r>
      <w:hyperlink w:anchor="ref-bond2025">
        <w:r>
          <w:rPr>
            <w:rStyle w:val="Hyperlink"/>
          </w:rPr>
          <w:t xml:space="preserve">6</w:t>
        </w:r>
      </w:hyperlink>
      <w:r>
        <w:t xml:space="preserve">]</w:t>
      </w:r>
      <w:r>
        <w:t xml:space="preserve"> </w:t>
      </w:r>
      <w:r>
        <w:t xml:space="preserve">and 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which no peer-reviewed study has examined: under a</w:t>
      </w:r>
      <w:r>
        <w:t xml:space="preserve"> </w:t>
      </w:r>
      <w:r>
        <w:t xml:space="preserve">preregistered plan and with a validated reconstruction of the reset benchmark, it asks which ACOs used the option and</w:t>
      </w:r>
      <w:r>
        <w:t xml:space="preserve"> </w:t>
      </w:r>
      <w:r>
        <w:t xml:space="preserve">what their choice suggests about why.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because of a separate 2017 change in assignment rules became 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the likelihood of earning a bonus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without waiting for its agreement to end or leaving the program, because the final rule published in 2018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a consulting case study models the choice for a hypothetical ACO.</w:t>
      </w:r>
      <w:r>
        <w:t xml:space="preserve">[</w:t>
      </w:r>
      <w:hyperlink w:anchor="ref-milliman2025">
        <w:r>
          <w:rPr>
            <w:rStyle w:val="Hyperlink"/>
          </w:rPr>
          <w:t xml:space="preserve">26</w:t>
        </w:r>
      </w:hyperlink>
      <w:r>
        <w:t xml:space="preserve">]</w:t>
      </w:r>
      <w:r>
        <w:t xml:space="preserve"> </w:t>
      </w:r>
      <w:r>
        <w:t xml:space="preserve">Neither tests why ACOs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datasets were used, all aggregate at the ACO or county level:</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Values based on few beneficiaries are hidden in the results and county files, consistent with CMS’s policy of suppressing counts of 1 to 10.</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 for every coefficient,</w:t>
      </w:r>
      <w:r>
        <w:t xml:space="preserve"> </w:t>
      </w:r>
      <m:oMath>
        <m:acc>
          <m:accPr>
            <m:chr m:val="̂"/>
          </m:accPr>
          <m:e>
            <m:r>
              <m:t>R</m:t>
            </m:r>
          </m:e>
        </m:acc>
        <m:r>
          <m:rPr>
            <m:sty m:val="p"/>
          </m:rPr>
          <m:t>≤</m:t>
        </m:r>
        <m:r>
          <m:t>1.01</m:t>
        </m:r>
      </m:oMath>
      <w:r>
        <w:t xml:space="preserve"> </w:t>
      </w:r>
      <w:r>
        <w:t xml:space="preserve">and bulk and tail effective sample sizes of at least 400,</w:t>
      </w:r>
      <w:r>
        <w:t xml:space="preserve">[</w:t>
      </w:r>
      <w:hyperlink w:anchor="ref-vehtari2021">
        <w:r>
          <w:rPr>
            <w:rStyle w:val="Hyperlink"/>
          </w:rPr>
          <w:t xml:space="preserve">43</w:t>
        </w:r>
      </w:hyperlink>
      <w:r>
        <w:t xml:space="preserve">]</w:t>
      </w:r>
      <w:r>
        <w:t xml:space="preserve"> </w:t>
      </w:r>
      <w:r>
        <w:t xml:space="preserve">and no divergent transitions, 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the scale Gelman and colleagues recommend for scaled predictors but with 3 rather than 1 degree of freedom,</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the exactly linear special case of the restrictions of Rambachan and Roth</w:t>
      </w:r>
      <w:r>
        <w:t xml:space="preserve">[</w:t>
      </w:r>
      <w:hyperlink w:anchor="ref-rambachan2023">
        <w:r>
          <w:rPr>
            <w:rStyle w:val="Hyperlink"/>
          </w:rPr>
          <w:t xml:space="preserve">50</w:t>
        </w:r>
      </w:hyperlink>
      <w:r>
        <w:t xml:space="preserve">]</w:t>
      </w:r>
      <w:r>
        <w:t xml:space="preserve">) and risk-adjusted, balanced-panel, propensity-score-weighted</w:t>
      </w:r>
      <w:r>
        <w:t xml:space="preserve">[</w:t>
      </w:r>
      <w:hyperlink w:anchor="ref-callaway2021">
        <w:r>
          <w:rPr>
            <w:rStyle w:val="Hyperlink"/>
          </w:rPr>
          <w:t xml:space="preserve">47</w:t>
        </w:r>
      </w:hyperlink>
      <w:r>
        <w:t xml:space="preserve">,</w:t>
      </w:r>
      <w:r>
        <w:t xml:space="preserve"> </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 in SciPy;</w:t>
      </w:r>
      <w:r>
        <w:t xml:space="preserve">[</w:t>
      </w:r>
      <w:hyperlink w:anchor="ref-welch1947">
        <w:r>
          <w:rPr>
            <w:rStyle w:val="Hyperlink"/>
          </w:rPr>
          <w:t xml:space="preserve">52</w:t>
        </w:r>
      </w:hyperlink>
      <w:r>
        <w:t xml:space="preserve">,</w:t>
      </w:r>
      <w:r>
        <w:t xml:space="preserve"> </w:t>
      </w:r>
      <w:hyperlink w:anchor="ref-scipy2020">
        <w:r>
          <w:rPr>
            <w:rStyle w:val="Hyperlink"/>
          </w:rPr>
          <w:t xml:space="preserve">53</w:t>
        </w:r>
      </w:hyperlink>
      <w:r>
        <w:t xml:space="preserve">]</w:t>
      </w:r>
      <w:r>
        <w:t xml:space="preserve"> </w:t>
      </w:r>
      <w:r>
        <w:t xml:space="preserve">ordinary least squares with HC2 errors</w:t>
      </w:r>
      <w:r>
        <w:t xml:space="preserve">[</w:t>
      </w:r>
      <w:hyperlink w:anchor="ref-mackinnon1985">
        <w:r>
          <w:rPr>
            <w:rStyle w:val="Hyperlink"/>
          </w:rPr>
          <w:t xml:space="preserve">54</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55</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56</w:t>
        </w:r>
      </w:hyperlink>
      <w:r>
        <w:t xml:space="preserve">]</w:t>
      </w:r>
      <w:r>
        <w:t xml:space="preserve"> </w:t>
      </w:r>
      <w:r>
        <w:t xml:space="preserve">on DuckDB;</w:t>
      </w:r>
      <w:r>
        <w:t xml:space="preserve">[</w:t>
      </w:r>
      <w:hyperlink w:anchor="ref-duckdb2019">
        <w:r>
          <w:rPr>
            <w:rStyle w:val="Hyperlink"/>
          </w:rPr>
          <w:t xml:space="preserve">57</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58</w:t>
        </w:r>
      </w:hyperlink>
      <w:r>
        <w:t xml:space="preserve">]</w:t>
      </w:r>
      <w:r>
        <w:t xml:space="preserve"> </w:t>
      </w:r>
      <w:r>
        <w:t xml:space="preserve">Markov chain Monte Carlo diagnostics used ArviZ;</w:t>
      </w:r>
      <w:r>
        <w:t xml:space="preserve">[</w:t>
      </w:r>
      <w:hyperlink w:anchor="ref-arviz2019">
        <w:r>
          <w:rPr>
            <w:rStyle w:val="Hyperlink"/>
          </w:rPr>
          <w:t xml:space="preserve">59</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60</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model Claude Opus 5.5),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from the author’s input, first drafts of most of the text, which the author revised and approved.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led the interpretation and conclusions,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 Bold: the primary hypothesis.</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61</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14</w:t>
        </w:r>
      </w:hyperlink>
      <w:r>
        <w:t xml:space="preserve">]</w:t>
      </w:r>
      <w:r>
        <w:t xml:space="preserve"> </w:t>
      </w:r>
      <w:r>
        <w:t xml:space="preserve">ACOs whose effective benchmarks fell leaving,</w:t>
      </w:r>
      <w:r>
        <w:t xml:space="preserve">[</w:t>
      </w:r>
      <w:hyperlink w:anchor="ref-chen2025">
        <w:r>
          <w:rPr>
            <w:rStyle w:val="Hyperlink"/>
          </w:rPr>
          <w:t xml:space="preserve">15</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Medicare bundled-payment program made voluntary for half of its hospitals after 2 mandatory years, hospitals that could gain without changing their behavior were more likely to opt in, which the authors called selection on levels;</w:t>
      </w:r>
      <w:r>
        <w:t xml:space="preserve">[</w:t>
      </w:r>
      <w:hyperlink w:anchor="ref-einav2022">
        <w:r>
          <w:rPr>
            <w:rStyle w:val="Hyperlink"/>
          </w:rPr>
          <w:t xml:space="preserve">62</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25</w:t>
        </w:r>
      </w:hyperlink>
      <w:r>
        <w:t xml:space="preserve">]</w:t>
      </w:r>
      <w:r>
        <w:t xml:space="preserve"> </w:t>
      </w:r>
      <w:r>
        <w:t xml:space="preserve">is consistent with the higher prior savings rates here; it places the earlier incumbents among the early renewers at BASIC levels C to E before they renewed but does not compare levels with stayers.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differences between ACOs and their regions are sensitive to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a regional adjustment that is negative overall is not applied, and negative amounts within a positive one are reduced for ACOs with more dually eligible or higher-risk beneficiaries;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63</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64</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analyzed during the current study are available in the Zenodo repository</w:t>
      </w:r>
      <w:r>
        <w:t xml:space="preserve">[</w:t>
      </w:r>
      <w:hyperlink w:anchor="ref-paperrepo">
        <w:r>
          <w:rPr>
            <w:rStyle w:val="Hyperlink"/>
          </w:rPr>
          <w:t xml:space="preserve">65</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is in the study repository at the registered commit,</w:t>
      </w:r>
      <w:r>
        <w:t xml:space="preserve">[</w:t>
      </w:r>
      <w:hyperlink w:anchor="ref-code">
        <w:r>
          <w:rPr>
            <w:rStyle w:val="Hyperlink"/>
          </w:rPr>
          <w:t xml:space="preserve">30</w:t>
        </w:r>
      </w:hyperlink>
      <w:r>
        <w:t xml:space="preserve">]</w:t>
      </w:r>
      <w:r>
        <w:t xml:space="preserve"> </w:t>
      </w:r>
      <w:r>
        <w:t xml:space="preserve">and a script that downloads and verifies them is in the repository at a later commit;</w:t>
      </w:r>
      <w:r>
        <w:t xml:space="preserve">[</w:t>
      </w:r>
      <w:hyperlink w:anchor="ref-coderepo">
        <w:r>
          <w:rPr>
            <w:rStyle w:val="Hyperlink"/>
          </w:rPr>
          <w:t xml:space="preserve">66</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65</w:t>
        </w:r>
      </w:hyperlink>
      <w:r>
        <w:t xml:space="preserve">]</w:t>
      </w:r>
      <w:r>
        <w:t xml:space="preserve"> </w:t>
      </w:r>
      <w:r>
        <w:t xml:space="preserve">The registered</w:t>
      </w:r>
      <w:r>
        <w:t xml:space="preserve"> </w:t>
      </w:r>
      <w:r>
        <w:t xml:space="preserve">analysis code (commit a4064f5) and its tests are in the study repository,</w:t>
      </w:r>
      <w:r>
        <w:t xml:space="preserve">[</w:t>
      </w:r>
      <w:hyperlink w:anchor="ref-code">
        <w:r>
          <w:rPr>
            <w:rStyle w:val="Hyperlink"/>
          </w:rPr>
          <w:t xml:space="preserve">30</w:t>
        </w:r>
      </w:hyperlink>
      <w:r>
        <w:t xml:space="preserve">]</w:t>
      </w:r>
      <w:r>
        <w:t xml:space="preserve"> </w:t>
      </w:r>
      <w:r>
        <w:t xml:space="preserve">and step-by-step instructions to rerun and adapt the analysis are in its README at the later commit.</w:t>
      </w:r>
      <w:r>
        <w:t xml:space="preserve">[</w:t>
      </w:r>
      <w:hyperlink w:anchor="ref-coderepo">
        <w:r>
          <w:rPr>
            <w:rStyle w:val="Hyperlink"/>
          </w:rPr>
          <w:t xml:space="preserve">66</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67</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202" w:name="references"/>
    <w:p>
      <w:pPr>
        <w:pStyle w:val="Heading1"/>
      </w:pPr>
      <w:r>
        <w:t xml:space="preserve">References</w:t>
      </w:r>
    </w:p>
    <w:bookmarkStart w:id="201" w:name="refs"/>
    <w:bookmarkStart w:id="68" w:name="ref-cfr425"/>
    <w:p>
      <w:pPr>
        <w:pStyle w:val="Bibliography"/>
      </w:pPr>
      <w:r>
        <w:t xml:space="preserve">1. 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2022.</w:t>
      </w:r>
      <w:r>
        <w:t xml:space="preserve"> </w:t>
      </w:r>
      <w:hyperlink r:id="rId67">
        <w:r>
          <w:rPr>
            <w:rStyle w:val="Hyperlink"/>
          </w:rPr>
          <w:t xml:space="preserve">https://www.ecfr.gov/on/2022-01-01/title-42/chapter-IV/subchapter-B/part-425</w:t>
        </w:r>
      </w:hyperlink>
      <w:r>
        <w:t xml:space="preserve">. Accessed 28 Oct 2026.</w:t>
      </w:r>
    </w:p>
    <w:bookmarkEnd w:id="68"/>
    <w:bookmarkStart w:id="70" w:name="ref-sspfastfacts2026"/>
    <w:p>
      <w:pPr>
        <w:pStyle w:val="Bibliography"/>
      </w:pPr>
      <w:r>
        <w:t xml:space="preserve">2. 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1, 2026. 2026.</w:t>
      </w:r>
      <w:r>
        <w:t xml:space="preserve"> </w:t>
      </w:r>
      <w:hyperlink r:id="rId69">
        <w:r>
          <w:rPr>
            <w:rStyle w:val="Hyperlink"/>
          </w:rPr>
          <w:t xml:space="preserve">https://www.cms.gov/files/document/2026-shared-savings-program-fast-facts.pdf</w:t>
        </w:r>
      </w:hyperlink>
      <w:r>
        <w:t xml:space="preserve">. Accessed 28 Oct 2026.</w:t>
      </w:r>
    </w:p>
    <w:bookmarkEnd w:id="70"/>
    <w:bookmarkStart w:id="72" w:name="ref-cfr425601"/>
    <w:p>
      <w:pPr>
        <w:pStyle w:val="Bibliography"/>
      </w:pPr>
      <w:r>
        <w:t xml:space="preserve">3. 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2022.</w:t>
      </w:r>
      <w:r>
        <w:t xml:space="preserve"> </w:t>
      </w:r>
      <w:hyperlink r:id="rId71">
        <w:r>
          <w:rPr>
            <w:rStyle w:val="Hyperlink"/>
          </w:rPr>
          <w:t xml:space="preserve">https://www.ecfr.gov/on/2022-01-01/title-42/chapter-IV/subchapter-B/part-425/subpart-G/section-425.601</w:t>
        </w:r>
      </w:hyperlink>
      <w:r>
        <w:t xml:space="preserve">. Accessed 28 Oct 2026.</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douven2015"/>
    <w:p>
      <w:pPr>
        <w:pStyle w:val="Bibliography"/>
      </w:pPr>
      <w:r>
        <w:t xml:space="preserve">10. Douven R, McGuire TG, McWilliams JM. Avoiding Unintended Incentives In ACO Payment Models. Health Affairs. 2015;34:143–9.</w:t>
      </w:r>
      <w:r>
        <w:t xml:space="preserve"> </w:t>
      </w:r>
      <w:hyperlink r:id="rId85">
        <w:r>
          <w:rPr>
            <w:rStyle w:val="Hyperlink"/>
          </w:rPr>
          <w:t xml:space="preserve">https://doi.org/10.1377/hlthaff.2014.0444</w:t>
        </w:r>
      </w:hyperlink>
      <w:r>
        <w:t xml:space="preserve">.</w:t>
      </w:r>
    </w:p>
    <w:bookmarkEnd w:id="86"/>
    <w:bookmarkStart w:id="88" w:name="ref-weitzman1980"/>
    <w:p>
      <w:pPr>
        <w:pStyle w:val="Bibliography"/>
      </w:pPr>
      <w:r>
        <w:t xml:space="preserve">11. Weitzman ML. The</w:t>
      </w:r>
      <w:r>
        <w:t xml:space="preserve"> </w:t>
      </w:r>
      <w:r>
        <w:t xml:space="preserve">“Ratchet Principle”</w:t>
      </w:r>
      <w:r>
        <w:t xml:space="preserve"> </w:t>
      </w:r>
      <w:r>
        <w:t xml:space="preserve">and Performance Incentives. The Bell Journal of Economics. 1980;11:302.</w:t>
      </w:r>
      <w:r>
        <w:t xml:space="preserve"> </w:t>
      </w:r>
      <w:hyperlink r:id="rId87">
        <w:r>
          <w:rPr>
            <w:rStyle w:val="Hyperlink"/>
          </w:rPr>
          <w:t xml:space="preserve">https://doi.org/10.2307/3003414</w:t>
        </w:r>
      </w:hyperlink>
      <w:r>
        <w:t xml:space="preserve">.</w:t>
      </w:r>
    </w:p>
    <w:bookmarkEnd w:id="88"/>
    <w:bookmarkStart w:id="90" w:name="ref-cappello2026"/>
    <w:p>
      <w:pPr>
        <w:pStyle w:val="Bibliography"/>
      </w:pPr>
      <w:r>
        <w:t xml:space="preserve">12. Cappello A. Essays in</w:t>
      </w:r>
      <w:r>
        <w:t xml:space="preserve"> </w:t>
      </w:r>
      <w:r>
        <w:t xml:space="preserve">Industrial</w:t>
      </w:r>
      <w:r>
        <w:t xml:space="preserve"> </w:t>
      </w:r>
      <w:r>
        <w:t xml:space="preserve">Organization</w:t>
      </w:r>
      <w:r>
        <w:t xml:space="preserve"> </w:t>
      </w:r>
      <w:r>
        <w:t xml:space="preserve">and</w:t>
      </w:r>
      <w:r>
        <w:t xml:space="preserve"> </w:t>
      </w:r>
      <w:r>
        <w:t xml:space="preserve">Health</w:t>
      </w:r>
      <w:r>
        <w:t xml:space="preserve"> </w:t>
      </w:r>
      <w:r>
        <w:t xml:space="preserve">Economics</w:t>
      </w:r>
      <w:r>
        <w:t xml:space="preserve">. PhD dissertation. Boston College; 2026.</w:t>
      </w:r>
      <w:r>
        <w:t xml:space="preserve"> </w:t>
      </w:r>
      <w:hyperlink r:id="rId89">
        <w:r>
          <w:rPr>
            <w:rStyle w:val="Hyperlink"/>
          </w:rPr>
          <w:t xml:space="preserve">https://www.proquest.com/openview/92b6e8f86c7ba39e2ba879d91063898b/1</w:t>
        </w:r>
      </w:hyperlink>
      <w:r>
        <w:t xml:space="preserve">. Accessed 28 Oct 2026.</w:t>
      </w:r>
    </w:p>
    <w:bookmarkEnd w:id="90"/>
    <w:bookmarkStart w:id="92" w:name="ref-rose2016"/>
    <w:p>
      <w:pPr>
        <w:pStyle w:val="Bibliography"/>
      </w:pPr>
      <w:r>
        <w:t xml:space="preserve">13. Rose S, Zaslavsky AM, McWilliams JM. Variation In Accountable Care Organization Spending And Sensitivity To Risk Adjustment: Implications For Benchmarking. Health Affairs. 2016;35:440–8.</w:t>
      </w:r>
      <w:r>
        <w:t xml:space="preserve"> </w:t>
      </w:r>
      <w:hyperlink r:id="rId91">
        <w:r>
          <w:rPr>
            <w:rStyle w:val="Hyperlink"/>
          </w:rPr>
          <w:t xml:space="preserve">https://doi.org/10.1377/hlthaff.2015.1026</w:t>
        </w:r>
      </w:hyperlink>
      <w:r>
        <w:t xml:space="preserve">.</w:t>
      </w:r>
    </w:p>
    <w:bookmarkEnd w:id="92"/>
    <w:bookmarkStart w:id="94" w:name="ref-lyu2023"/>
    <w:p>
      <w:pPr>
        <w:pStyle w:val="Bibliography"/>
      </w:pPr>
      <w:r>
        <w:t xml:space="preserve">14. Lyu PF, Chernew ME, McWilliams JM. Benchmarking Changes And Selective Participation In The Medicare Shared Savings Program. Health Affairs. 2023;42:622–31.</w:t>
      </w:r>
      <w:r>
        <w:t xml:space="preserve"> </w:t>
      </w:r>
      <w:hyperlink r:id="rId93">
        <w:r>
          <w:rPr>
            <w:rStyle w:val="Hyperlink"/>
          </w:rPr>
          <w:t xml:space="preserve">https://doi.org/10.1377/hlthaff.2022.01061</w:t>
        </w:r>
      </w:hyperlink>
      <w:r>
        <w:t xml:space="preserve">.</w:t>
      </w:r>
    </w:p>
    <w:bookmarkEnd w:id="94"/>
    <w:bookmarkStart w:id="96" w:name="ref-chen2025"/>
    <w:p>
      <w:pPr>
        <w:pStyle w:val="Bibliography"/>
      </w:pPr>
      <w:r>
        <w:t xml:space="preserve">15. Chen AJ, McWilliams JM. How Benchmark Changes Affect Participation in Accountable Care Organizations: Prospects for Voluntary Payment Models. American Journal of Health Economics. 2025;11:38–62.</w:t>
      </w:r>
      <w:r>
        <w:t xml:space="preserve"> </w:t>
      </w:r>
      <w:hyperlink r:id="rId95">
        <w:r>
          <w:rPr>
            <w:rStyle w:val="Hyperlink"/>
          </w:rPr>
          <w:t xml:space="preserve">https://doi.org/10.1086/726748</w:t>
        </w:r>
      </w:hyperlink>
      <w:r>
        <w:t xml:space="preserve">.</w:t>
      </w:r>
    </w:p>
    <w:bookmarkEnd w:id="96"/>
    <w:bookmarkStart w:id="98" w:name="ref-srivastava2026"/>
    <w:p>
      <w:pPr>
        <w:pStyle w:val="Bibliography"/>
      </w:pPr>
      <w:r>
        <w:t xml:space="preserve">16. Srivastava A, Shay A, Kaufman SR, Liu X, Maganty A, Oerline MK, et al. Accountable Care Organization Efficiency on Entry and Shared Savings Bonuses. JAMA Network Open. 2026;9:e260166.</w:t>
      </w:r>
      <w:r>
        <w:t xml:space="preserve"> </w:t>
      </w:r>
      <w:hyperlink r:id="rId97">
        <w:r>
          <w:rPr>
            <w:rStyle w:val="Hyperlink"/>
          </w:rPr>
          <w:t xml:space="preserve">https://doi.org/10.1001/jamanetworkopen.2026.0166</w:t>
        </w:r>
      </w:hyperlink>
      <w:r>
        <w:t xml:space="preserve">.</w:t>
      </w:r>
    </w:p>
    <w:bookmarkEnd w:id="98"/>
    <w:bookmarkStart w:id="100" w:name="ref-bleser2019"/>
    <w:p>
      <w:pPr>
        <w:pStyle w:val="Bibliography"/>
      </w:pPr>
      <w:r>
        <w:t xml:space="preserve">17. Bleser WK, Saunders RS, Muhlestein DB, McClellan M. Why Do Accountable Care Organizations Leave The Medicare Shared Savings Program? Health Affairs. 2019;38:794–803.</w:t>
      </w:r>
      <w:r>
        <w:t xml:space="preserve"> </w:t>
      </w:r>
      <w:hyperlink r:id="rId99">
        <w:r>
          <w:rPr>
            <w:rStyle w:val="Hyperlink"/>
          </w:rPr>
          <w:t xml:space="preserve">https://doi.org/10.1377/hlthaff.2018.05097</w:t>
        </w:r>
      </w:hyperlink>
      <w:r>
        <w:t xml:space="preserve">.</w:t>
      </w:r>
    </w:p>
    <w:bookmarkEnd w:id="100"/>
    <w:bookmarkStart w:id="102" w:name="ref-zhu2023"/>
    <w:p>
      <w:pPr>
        <w:pStyle w:val="Bibliography"/>
      </w:pPr>
      <w:r>
        <w:t xml:space="preserve">18. Zhu X, Huang H, MacKinney AC, Ullrich F, Mueller K. Medicare accountable care organization characteristics associated with participation in 2‐sided risk. The Journal of Rural Health. 2023;39:302–8.</w:t>
      </w:r>
      <w:r>
        <w:t xml:space="preserve"> </w:t>
      </w:r>
      <w:hyperlink r:id="rId101">
        <w:r>
          <w:rPr>
            <w:rStyle w:val="Hyperlink"/>
          </w:rPr>
          <w:t xml:space="preserve">https://doi.org/10.1111/jrh.12672</w:t>
        </w:r>
      </w:hyperlink>
      <w:r>
        <w:t xml:space="preserve">.</w:t>
      </w:r>
    </w:p>
    <w:bookmarkEnd w:id="102"/>
    <w:bookmarkStart w:id="104" w:name="ref-ying2023"/>
    <w:p>
      <w:pPr>
        <w:pStyle w:val="Bibliography"/>
      </w:pPr>
      <w:r>
        <w:t xml:space="preserve">19. Ying M, Hirth RA, Yan P, Shay A, Murali S, Ryan A, et al. Changes in Shared Savings Program Participation After Launch of Pathways to Success. Journal of General Internal Medicine. 2023;38:1780–2.</w:t>
      </w:r>
      <w:r>
        <w:t xml:space="preserve"> </w:t>
      </w:r>
      <w:hyperlink r:id="rId103">
        <w:r>
          <w:rPr>
            <w:rStyle w:val="Hyperlink"/>
          </w:rPr>
          <w:t xml:space="preserve">https://doi.org/10.1007/s11606-022-07947-x</w:t>
        </w:r>
      </w:hyperlink>
      <w:r>
        <w:t xml:space="preserve">.</w:t>
      </w:r>
    </w:p>
    <w:bookmarkEnd w:id="104"/>
    <w:bookmarkStart w:id="106" w:name="ref-ying2024"/>
    <w:p>
      <w:pPr>
        <w:pStyle w:val="Bibliography"/>
      </w:pPr>
      <w:r>
        <w:t xml:space="preserve">20.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5">
        <w:r>
          <w:rPr>
            <w:rStyle w:val="Hyperlink"/>
          </w:rPr>
          <w:t xml:space="preserve">https://doi.org/10.1093/haschl/qxad093</w:t>
        </w:r>
      </w:hyperlink>
      <w:r>
        <w:t xml:space="preserve">.</w:t>
      </w:r>
    </w:p>
    <w:bookmarkEnd w:id="106"/>
    <w:bookmarkStart w:id="108" w:name="ref-moloci2021"/>
    <w:p>
      <w:pPr>
        <w:pStyle w:val="Bibliography"/>
      </w:pPr>
      <w:r>
        <w:t xml:space="preserve">21. Moloci NM, Si Y, Norton EC, Ryan AM, Hollingsworth JM. Predicting Losses from Medicare Shared Savings Program Departures. Journal of General Internal Medicine. 2021;36:2490–1.</w:t>
      </w:r>
      <w:r>
        <w:t xml:space="preserve"> </w:t>
      </w:r>
      <w:hyperlink r:id="rId107">
        <w:r>
          <w:rPr>
            <w:rStyle w:val="Hyperlink"/>
          </w:rPr>
          <w:t xml:space="preserve">https://doi.org/10.1007/s11606-020-06424-7</w:t>
        </w:r>
      </w:hyperlink>
      <w:r>
        <w:t xml:space="preserve">.</w:t>
      </w:r>
    </w:p>
    <w:bookmarkEnd w:id="108"/>
    <w:bookmarkStart w:id="110" w:name="ref-trombley2022"/>
    <w:p>
      <w:pPr>
        <w:pStyle w:val="Bibliography"/>
      </w:pPr>
      <w:r>
        <w:t xml:space="preserve">22. Trombley MJ, McWilliams JM, Fout B, Morefield B. ACO Investment Model Produced Savings, But The Majority Of Participants Exited When Faced With Downside Risk. Health Affairs. 2022;41:138–46.</w:t>
      </w:r>
      <w:r>
        <w:t xml:space="preserve"> </w:t>
      </w:r>
      <w:hyperlink r:id="rId109">
        <w:r>
          <w:rPr>
            <w:rStyle w:val="Hyperlink"/>
          </w:rPr>
          <w:t xml:space="preserve">https://doi.org/10.1377/hlthaff.2020.01819</w:t>
        </w:r>
      </w:hyperlink>
      <w:r>
        <w:t xml:space="preserve">.</w:t>
      </w:r>
    </w:p>
    <w:bookmarkEnd w:id="110"/>
    <w:bookmarkStart w:id="112" w:name="ref-frpathways"/>
    <w:p>
      <w:pPr>
        <w:pStyle w:val="Bibliography"/>
      </w:pPr>
      <w:r>
        <w:t xml:space="preserve">23.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11">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12"/>
    <w:bookmarkStart w:id="114" w:name="ref-dataacos"/>
    <w:p>
      <w:pPr>
        <w:pStyle w:val="Bibliography"/>
      </w:pPr>
      <w:r>
        <w:t xml:space="preserve">24. 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2026.</w:t>
      </w:r>
      <w:r>
        <w:t xml:space="preserve"> </w:t>
      </w:r>
      <w:hyperlink r:id="rId113">
        <w:r>
          <w:rPr>
            <w:rStyle w:val="Hyperlink"/>
          </w:rPr>
          <w:t xml:space="preserve">https://data.cms.gov/medicare-shared-savings-program/accountable-care-organizations</w:t>
        </w:r>
      </w:hyperlink>
      <w:r>
        <w:t xml:space="preserve">. Accessed 22 Oct 2026.</w:t>
      </w:r>
    </w:p>
    <w:bookmarkEnd w:id="114"/>
    <w:bookmarkStart w:id="116" w:name="ref-milliman2024"/>
    <w:p>
      <w:pPr>
        <w:pStyle w:val="Bibliography"/>
      </w:pPr>
      <w:r>
        <w:t xml:space="preserve">25. Smith M, Jensen B, Anderson J, Lockett K. Medicare</w:t>
      </w:r>
      <w:r>
        <w:t xml:space="preserve"> </w:t>
      </w:r>
      <w:r>
        <w:t xml:space="preserve">Shared</w:t>
      </w:r>
      <w:r>
        <w:t xml:space="preserve"> </w:t>
      </w:r>
      <w:r>
        <w:t xml:space="preserve">Savings</w:t>
      </w:r>
      <w:r>
        <w:t xml:space="preserve"> </w:t>
      </w:r>
      <w:r>
        <w:t xml:space="preserve">Program</w:t>
      </w:r>
      <w:r>
        <w:t xml:space="preserve">:</w:t>
      </w:r>
      <w:r>
        <w:t xml:space="preserve"> </w:t>
      </w:r>
      <w:r>
        <w:t xml:space="preserve">ACO</w:t>
      </w:r>
      <w:r>
        <w:t xml:space="preserve"> </w:t>
      </w:r>
      <w:r>
        <w:t xml:space="preserve">financial results for 2022. Milliman research report. Milliman; 2024.</w:t>
      </w:r>
      <w:r>
        <w:t xml:space="preserve"> </w:t>
      </w:r>
      <w:hyperlink r:id="rId115">
        <w:r>
          <w:rPr>
            <w:rStyle w:val="Hyperlink"/>
          </w:rPr>
          <w:t xml:space="preserve">https://www.milliman.com/-/media/milliman/pdfs/2024-articles/4-2-24_medicare_shared_savings_program_aco_financial_results_for_2022.ashx</w:t>
        </w:r>
      </w:hyperlink>
      <w:r>
        <w:t xml:space="preserve">. Accessed 28 Oct 2026.</w:t>
      </w:r>
    </w:p>
    <w:bookmarkEnd w:id="116"/>
    <w:bookmarkStart w:id="118" w:name="ref-milliman2025"/>
    <w:p>
      <w:pPr>
        <w:pStyle w:val="Bibliography"/>
      </w:pPr>
      <w:r>
        <w:t xml:space="preserve">26. Milliman. Annual renewal considerations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w:t>
      </w:r>
      <w:r>
        <w:t xml:space="preserve">(</w:t>
      </w:r>
      <w:r>
        <w:t xml:space="preserve">MSSP</w:t>
      </w:r>
      <w:r>
        <w:t xml:space="preserve">). Case study. Milliman; 2025.</w:t>
      </w:r>
      <w:r>
        <w:t xml:space="preserve"> </w:t>
      </w:r>
      <w:hyperlink r:id="rId117">
        <w:r>
          <w:rPr>
            <w:rStyle w:val="Hyperlink"/>
          </w:rPr>
          <w:t xml:space="preserve">https://edge.sitecorecloud.io/millimaninc5660-milliman6442-prod27d5-0001/media/Milliman/PDFs/2025-Articles/4-7-25_MSSP-annual-renewal-considerations.pdf</w:t>
        </w:r>
      </w:hyperlink>
      <w:r>
        <w:t xml:space="preserve">. Accessed 28 Oct 2026.</w:t>
      </w:r>
    </w:p>
    <w:bookmarkEnd w:id="118"/>
    <w:bookmarkStart w:id="120" w:name="ref-cfr2024"/>
    <w:p>
      <w:pPr>
        <w:pStyle w:val="Bibliography"/>
      </w:pPr>
      <w:r>
        <w:t xml:space="preserve">27. 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2024.</w:t>
      </w:r>
      <w:r>
        <w:t xml:space="preserve"> </w:t>
      </w:r>
      <w:hyperlink r:id="rId119">
        <w:r>
          <w:rPr>
            <w:rStyle w:val="Hyperlink"/>
          </w:rPr>
          <w:t xml:space="preserve">https://www.ecfr.gov/on/2024-01-01/title-42/chapter-IV/subchapter-B/part-425/subpart-G/section-425.652</w:t>
        </w:r>
      </w:hyperlink>
      <w:r>
        <w:t xml:space="preserve">. Accessed 28 Oct 2026.</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2026.</w:t>
      </w:r>
      <w:r>
        <w:t xml:space="preserve"> </w:t>
      </w:r>
      <w:hyperlink r:id="rId125">
        <w:r>
          <w:rPr>
            <w:rStyle w:val="Hyperlink"/>
          </w:rPr>
          <w:t xml:space="preserve">https://github.com/stharrold/stharrold.github.io/tree/a4064f592a492d971ce3c27e95afb3050e6bc01d/analysis/mssp-benchmark-ratchet</w:t>
        </w:r>
      </w:hyperlink>
      <w:r>
        <w:t xml:space="preserve">. Accessed 28 Oct 2026.</w:t>
      </w:r>
    </w:p>
    <w:bookmarkEnd w:id="126"/>
    <w:bookmarkStart w:id="128" w:name="ref-dataresults"/>
    <w:p>
      <w:pPr>
        <w:pStyle w:val="Bibliography"/>
      </w:pPr>
      <w:r>
        <w:t xml:space="preserve">31. Centers for Medicare &amp; Medicaid Services. Performance year financial and quality results, performance years 2013-2024. 2026.</w:t>
      </w:r>
      <w:r>
        <w:t xml:space="preserve"> </w:t>
      </w:r>
      <w:hyperlink r:id="rId127">
        <w:r>
          <w:rPr>
            <w:rStyle w:val="Hyperlink"/>
          </w:rPr>
          <w:t xml:space="preserve">https://data.cms.gov/medicare-shared-savings-program/performance-year-financial-and-quality-results</w:t>
        </w:r>
      </w:hyperlink>
      <w:r>
        <w:t xml:space="preserve">. Accessed 22 Oct 2026.</w:t>
      </w:r>
    </w:p>
    <w:bookmarkEnd w:id="128"/>
    <w:bookmarkStart w:id="130" w:name="ref-datacounty"/>
    <w:p>
      <w:pPr>
        <w:pStyle w:val="Bibliography"/>
      </w:pPr>
      <w:r>
        <w:t xml:space="preserve">32. Centers for Medicare &amp; Medicaid Services. County-level aggregate expenditure and risk score data on assignable beneficiaries. 2026.</w:t>
      </w:r>
      <w:r>
        <w:t xml:space="preserve"> </w:t>
      </w:r>
      <w:hyperlink r:id="rId129">
        <w:r>
          <w:rPr>
            <w:rStyle w:val="Hyperlink"/>
          </w:rPr>
          <w:t xml:space="preserve">https://data.cms.gov/medicare-shared-savings-program/county-level-aggregate-expenditure-and-risk-score-data-on-assignable-beneficiaries</w:t>
        </w:r>
      </w:hyperlink>
      <w:r>
        <w:t xml:space="preserve">. Accessed 22 Oct 2026.</w:t>
      </w:r>
    </w:p>
    <w:bookmarkEnd w:id="130"/>
    <w:bookmarkStart w:id="132" w:name="ref-dataassigned"/>
    <w:p>
      <w:pPr>
        <w:pStyle w:val="Bibliography"/>
      </w:pPr>
      <w:r>
        <w:t xml:space="preserve">33. Centers for Medicare &amp; Medicaid Services. Number of accountable care organization assigned beneficiaries by county. 2026.</w:t>
      </w:r>
      <w:r>
        <w:t xml:space="preserve"> </w:t>
      </w:r>
      <w:hyperlink r:id="rId131">
        <w:r>
          <w:rPr>
            <w:rStyle w:val="Hyperlink"/>
          </w:rPr>
          <w:t xml:space="preserve">https://data.cms.gov/medicare-shared-savings-program/number-of-accountable-care-organization-assigned-beneficiaries-by-county</w:t>
        </w:r>
      </w:hyperlink>
      <w:r>
        <w:t xml:space="preserve">. Accessed 22 Oct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Project files.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r>
        <w:t xml:space="preserve">CMS</w:t>
      </w:r>
      <w:r>
        <w:t xml:space="preserve"> </w:t>
      </w:r>
      <w:r>
        <w:t xml:space="preserve">cell suppression policy. 2020.</w:t>
      </w:r>
      <w:r>
        <w:t xml:space="preserve"> </w:t>
      </w:r>
      <w:hyperlink r:id="rId135">
        <w:r>
          <w:rPr>
            <w:rStyle w:val="Hyperlink"/>
          </w:rPr>
          <w:t xml:space="preserve">https://web.archive.org/web/20250516214605/https://www.hhs.gov/guidance/document/cms-cell-suppression-policy</w:t>
        </w:r>
      </w:hyperlink>
      <w:r>
        <w:t xml:space="preserve">. Accessed 28 Oct 2026.</w:t>
      </w:r>
    </w:p>
    <w:bookmarkEnd w:id="136"/>
    <w:bookmarkStart w:id="138" w:name="ref-specv10"/>
    <w:p>
      <w:pPr>
        <w:pStyle w:val="Bibliography"/>
      </w:pPr>
      <w:r>
        <w:t xml:space="preserve">36. 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2022.</w:t>
      </w:r>
      <w:r>
        <w:t xml:space="preserve"> </w:t>
      </w:r>
      <w:hyperlink r:id="rId137">
        <w:r>
          <w:rPr>
            <w:rStyle w:val="Hyperlink"/>
          </w:rPr>
          <w:t xml:space="preserve">https://www.cms.gov/files/document/medicare-shared-savings-program-shared-savings-and-losses-and-assignment-methodology-specifications.pdf-1</w:t>
        </w:r>
      </w:hyperlink>
      <w:r>
        <w:t xml:space="preserve">. Accessed 28 Oct 2026.</w:t>
      </w:r>
    </w:p>
    <w:bookmarkEnd w:id="138"/>
    <w:bookmarkStart w:id="140" w:name="ref-cfr425600"/>
    <w:p>
      <w:pPr>
        <w:pStyle w:val="Bibliography"/>
      </w:pPr>
      <w:r>
        <w:t xml:space="preserve">37. 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2022.</w:t>
      </w:r>
      <w:r>
        <w:t xml:space="preserve"> </w:t>
      </w:r>
      <w:hyperlink r:id="rId139">
        <w:r>
          <w:rPr>
            <w:rStyle w:val="Hyperlink"/>
          </w:rPr>
          <w:t xml:space="preserve">https://www.ecfr.gov/on/2022-01-01/title-42/chapter-IV/subchapter-B/part-425/subpart-G/section-425.600</w:t>
        </w:r>
      </w:hyperlink>
      <w:r>
        <w:t xml:space="preserve">. Accessed 30 Oct 2026.</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 Journal of Machine Learning Research. 2014;15:1593–623.</w:t>
      </w:r>
      <w:r>
        <w:t xml:space="preserve"> </w:t>
      </w:r>
      <w:hyperlink r:id="rId147">
        <w:r>
          <w:rPr>
            <w:rStyle w:val="Hyperlink"/>
          </w:rPr>
          <w:t xml:space="preserve">https://jmlr.org/papers/v15/hoffman14a.html</w:t>
        </w:r>
      </w:hyperlink>
      <w:r>
        <w:t xml:space="preserve">. Accessed 28 Oct 2026.</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JZ.</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2026.</w:t>
      </w:r>
      <w:r>
        <w:t xml:space="preserve"> </w:t>
      </w:r>
      <w:hyperlink r:id="rId155">
        <w:r>
          <w:rPr>
            <w:rStyle w:val="Hyperlink"/>
          </w:rPr>
          <w:t xml:space="preserve">https://doi.org/10.5281/zenodo.17863280</w:t>
        </w:r>
      </w:hyperlink>
      <w:r>
        <w:t xml:space="preserve">.</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scipy2020"/>
    <w:p>
      <w:pPr>
        <w:pStyle w:val="Bibliography"/>
      </w:pPr>
      <w:r>
        <w:t xml:space="preserve">53. Virtanen P, Gommers R, Oliphant TE, Haberland M, Reddy T, Cournapeau D, et al. SciPy 1.0: fundamental algorithms for scientific computing in Python. Nature Methods. 2020;17:261–72.</w:t>
      </w:r>
      <w:r>
        <w:t xml:space="preserve"> </w:t>
      </w:r>
      <w:hyperlink r:id="rId171">
        <w:r>
          <w:rPr>
            <w:rStyle w:val="Hyperlink"/>
          </w:rPr>
          <w:t xml:space="preserve">https://doi.org/10.1038/s41592-019-0686-2</w:t>
        </w:r>
      </w:hyperlink>
      <w:r>
        <w:t xml:space="preserve">.</w:t>
      </w:r>
    </w:p>
    <w:bookmarkEnd w:id="172"/>
    <w:bookmarkStart w:id="174" w:name="ref-mackinnon1985"/>
    <w:p>
      <w:pPr>
        <w:pStyle w:val="Bibliography"/>
      </w:pPr>
      <w:r>
        <w:t xml:space="preserve">54. MacKinnon JG, White H. Some heteroskedasticity-consistent covariance matrix estimators with improved finite sample properties. Journal of Econometrics. 1985;29:305–25.</w:t>
      </w:r>
      <w:r>
        <w:t xml:space="preserve"> </w:t>
      </w:r>
      <w:hyperlink r:id="rId173">
        <w:r>
          <w:rPr>
            <w:rStyle w:val="Hyperlink"/>
          </w:rPr>
          <w:t xml:space="preserve">https://doi.org/10.1016/0304-4076(85)90158-7</w:t>
        </w:r>
      </w:hyperlink>
      <w:r>
        <w:t xml:space="preserve">.</w:t>
      </w:r>
    </w:p>
    <w:bookmarkEnd w:id="174"/>
    <w:bookmarkStart w:id="176" w:name="ref-statsmodels2010"/>
    <w:p>
      <w:pPr>
        <w:pStyle w:val="Bibliography"/>
      </w:pPr>
      <w:r>
        <w:t xml:space="preserve">55. Seabold S, Perktold J. Statsmodels: Econometric and Statistical Modeling with Python. Proceedings of the Python in Science Conference. 2010;92–6.</w:t>
      </w:r>
      <w:r>
        <w:t xml:space="preserve"> </w:t>
      </w:r>
      <w:hyperlink r:id="rId175">
        <w:r>
          <w:rPr>
            <w:rStyle w:val="Hyperlink"/>
          </w:rPr>
          <w:t xml:space="preserve">https://doi.org/10.25080/majora-92bf1922-011</w:t>
        </w:r>
      </w:hyperlink>
      <w:r>
        <w:t xml:space="preserve">.</w:t>
      </w:r>
    </w:p>
    <w:bookmarkEnd w:id="176"/>
    <w:bookmarkStart w:id="178" w:name="ref-dbt"/>
    <w:p>
      <w:pPr>
        <w:pStyle w:val="Bibliography"/>
      </w:pPr>
      <w:r>
        <w:t xml:space="preserve">56.</w:t>
      </w:r>
      <w:r>
        <w:t xml:space="preserve"> </w:t>
      </w:r>
      <w:r>
        <w:t xml:space="preserve">dbt Labs, Wills J</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1.11.0. 2026.</w:t>
      </w:r>
      <w:r>
        <w:t xml:space="preserve"> </w:t>
      </w:r>
      <w:hyperlink r:id="rId177">
        <w:r>
          <w:rPr>
            <w:rStyle w:val="Hyperlink"/>
          </w:rPr>
          <w:t xml:space="preserve">https://github.com/dbt-labs/dbt/tree/v1.12.6</w:t>
        </w:r>
      </w:hyperlink>
      <w:r>
        <w:t xml:space="preserve">. Accessed 30 Oct 2026.</w:t>
      </w:r>
    </w:p>
    <w:bookmarkEnd w:id="178"/>
    <w:bookmarkStart w:id="180" w:name="ref-duckdb2019"/>
    <w:p>
      <w:pPr>
        <w:pStyle w:val="Bibliography"/>
      </w:pPr>
      <w:r>
        <w:t xml:space="preserve">57. Raasveldt M, Mühleisen H. DuckDB: an Embeddable Analytical Database. Proceedings of the 2019 International Conference on Management of Data. 2019;1981–4.</w:t>
      </w:r>
      <w:r>
        <w:t xml:space="preserve"> </w:t>
      </w:r>
      <w:hyperlink r:id="rId179">
        <w:r>
          <w:rPr>
            <w:rStyle w:val="Hyperlink"/>
          </w:rPr>
          <w:t xml:space="preserve">https://doi.org/10.1145/3299869.3320212</w:t>
        </w:r>
      </w:hyperlink>
      <w:r>
        <w:t xml:space="preserve">.</w:t>
      </w:r>
    </w:p>
    <w:bookmarkEnd w:id="180"/>
    <w:bookmarkStart w:id="182" w:name="ref-uv"/>
    <w:p>
      <w:pPr>
        <w:pStyle w:val="Bibliography"/>
      </w:pPr>
      <w:r>
        <w:t xml:space="preserve">58. Astral Software.</w:t>
      </w:r>
      <w:r>
        <w:t xml:space="preserve"> </w:t>
      </w:r>
      <w:r>
        <w:t xml:space="preserve">uv</w:t>
      </w:r>
      <w:r>
        <w:t xml:space="preserve">: An extremely fast</w:t>
      </w:r>
      <w:r>
        <w:t xml:space="preserve"> </w:t>
      </w:r>
      <w:r>
        <w:t xml:space="preserve">Python</w:t>
      </w:r>
      <w:r>
        <w:t xml:space="preserve"> </w:t>
      </w:r>
      <w:r>
        <w:t xml:space="preserve">package and project manager. 2026.</w:t>
      </w:r>
      <w:r>
        <w:t xml:space="preserve"> </w:t>
      </w:r>
      <w:hyperlink r:id="rId181">
        <w:r>
          <w:rPr>
            <w:rStyle w:val="Hyperlink"/>
          </w:rPr>
          <w:t xml:space="preserve">https://github.com/astral-sh/uv</w:t>
        </w:r>
      </w:hyperlink>
      <w:r>
        <w:t xml:space="preserve">. Accessed 28 Oct 2026.</w:t>
      </w:r>
    </w:p>
    <w:bookmarkEnd w:id="182"/>
    <w:bookmarkStart w:id="184" w:name="ref-arviz2019"/>
    <w:p>
      <w:pPr>
        <w:pStyle w:val="Bibliography"/>
      </w:pPr>
      <w:r>
        <w:t xml:space="preserve">59. Kumar R, Carroll C, Hartikainen A, Martin O. ArviZ a unified library for exploratory analysis of Bayesian models in Python. Journal of Open Source Software. 2019;4:1143.</w:t>
      </w:r>
      <w:r>
        <w:t xml:space="preserve"> </w:t>
      </w:r>
      <w:hyperlink r:id="rId183">
        <w:r>
          <w:rPr>
            <w:rStyle w:val="Hyperlink"/>
          </w:rPr>
          <w:t xml:space="preserve">https://doi.org/10.21105/joss.01143</w:t>
        </w:r>
      </w:hyperlink>
      <w:r>
        <w:t xml:space="preserve">.</w:t>
      </w:r>
    </w:p>
    <w:bookmarkEnd w:id="184"/>
    <w:bookmarkStart w:id="186" w:name="ref-numpy2020"/>
    <w:p>
      <w:pPr>
        <w:pStyle w:val="Bibliography"/>
      </w:pPr>
      <w:r>
        <w:t xml:space="preserve">60. Harris CR, Millman KJ, van der Walt SJ, Gommers R, Virtanen P, Cournapeau D, et al. Array programming with NumPy. Nature. 2020;585:357–62.</w:t>
      </w:r>
      <w:r>
        <w:t xml:space="preserve"> </w:t>
      </w:r>
      <w:hyperlink r:id="rId185">
        <w:r>
          <w:rPr>
            <w:rStyle w:val="Hyperlink"/>
          </w:rPr>
          <w:t xml:space="preserve">https://doi.org/10.1038/s41586-020-2649-2</w:t>
        </w:r>
      </w:hyperlink>
      <w:r>
        <w:t xml:space="preserve">.</w:t>
      </w:r>
    </w:p>
    <w:bookmarkEnd w:id="186"/>
    <w:bookmarkStart w:id="188" w:name="ref-gelmancarlin2014"/>
    <w:p>
      <w:pPr>
        <w:pStyle w:val="Bibliography"/>
      </w:pPr>
      <w:r>
        <w:t xml:space="preserve">61. Gelman A, Carlin J. Beyond Power Calculations: Assessing Type S (Sign) and Type M (Magnitude) Errors. Perspectives on Psychological Science. 2014;9:641–51.</w:t>
      </w:r>
      <w:r>
        <w:t xml:space="preserve"> </w:t>
      </w:r>
      <w:hyperlink r:id="rId187">
        <w:r>
          <w:rPr>
            <w:rStyle w:val="Hyperlink"/>
          </w:rPr>
          <w:t xml:space="preserve">https://doi.org/10.1177/1745691614551642</w:t>
        </w:r>
      </w:hyperlink>
      <w:r>
        <w:t xml:space="preserve">.</w:t>
      </w:r>
    </w:p>
    <w:bookmarkEnd w:id="188"/>
    <w:bookmarkStart w:id="190" w:name="ref-einav2022"/>
    <w:p>
      <w:pPr>
        <w:pStyle w:val="Bibliography"/>
      </w:pPr>
      <w:r>
        <w:t xml:space="preserve">62. Einav L, Finkelstein A, Ji Y, Mahoney N. Voluntary Regulation: Evidence from Medicare Payment Reform. The Quarterly Journal of Economics. 2021;137:565–618.</w:t>
      </w:r>
      <w:r>
        <w:t xml:space="preserve"> </w:t>
      </w:r>
      <w:hyperlink r:id="rId189">
        <w:r>
          <w:rPr>
            <w:rStyle w:val="Hyperlink"/>
          </w:rPr>
          <w:t xml:space="preserve">https://doi.org/10.1093/qje/qjab035</w:t>
        </w:r>
      </w:hyperlink>
      <w:r>
        <w:t xml:space="preserve">.</w:t>
      </w:r>
    </w:p>
    <w:bookmarkEnd w:id="190"/>
    <w:bookmarkStart w:id="192" w:name="ref-aha2021"/>
    <w:p>
      <w:pPr>
        <w:pStyle w:val="Bibliography"/>
      </w:pPr>
      <w:r>
        <w:t xml:space="preserve">63.</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2021.</w:t>
      </w:r>
      <w:r>
        <w:t xml:space="preserve"> </w:t>
      </w:r>
      <w:hyperlink r:id="rId191">
        <w:r>
          <w:rPr>
            <w:rStyle w:val="Hyperlink"/>
          </w:rPr>
          <w:t xml:space="preserve">https://www.aha.org/lettercomment/2021-10-14-aha-others-cms-re-request-provide-mssp-acos-option-use-pre-pandemic-years</w:t>
        </w:r>
      </w:hyperlink>
      <w:r>
        <w:t xml:space="preserve">. Accessed 28 Oct 2026.</w:t>
      </w:r>
    </w:p>
    <w:bookmarkEnd w:id="192"/>
    <w:bookmarkStart w:id="194" w:name="ref-cfr46102"/>
    <w:p>
      <w:pPr>
        <w:pStyle w:val="Bibliography"/>
      </w:pPr>
      <w:r>
        <w:t xml:space="preserve">64. 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2026.</w:t>
      </w:r>
      <w:r>
        <w:t xml:space="preserve"> </w:t>
      </w:r>
      <w:hyperlink r:id="rId193">
        <w:r>
          <w:rPr>
            <w:rStyle w:val="Hyperlink"/>
          </w:rPr>
          <w:t xml:space="preserve">https://www.ecfr.gov/on/2026-10-01/title-45/subtitle-A/subchapter-A/part-46/subpart-A/section-46.102#p-46.102%28e%29%281%29</w:t>
        </w:r>
      </w:hyperlink>
      <w:r>
        <w:t xml:space="preserve">. Accessed 28 Oct 2026.</w:t>
      </w:r>
    </w:p>
    <w:bookmarkEnd w:id="194"/>
    <w:bookmarkStart w:id="196" w:name="ref-paperrepo"/>
    <w:p>
      <w:pPr>
        <w:pStyle w:val="Bibliography"/>
      </w:pPr>
      <w:r>
        <w:t xml:space="preserve">65. Harrold ST. Early renewal of accountable care organization agreements to reset benchmarks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Preregistered retrospective cohort study (manuscript, data and code). 2026.</w:t>
      </w:r>
      <w:r>
        <w:t xml:space="preserve"> </w:t>
      </w:r>
      <w:hyperlink r:id="rId195">
        <w:r>
          <w:rPr>
            <w:rStyle w:val="Hyperlink"/>
          </w:rPr>
          <w:t xml:space="preserve">https://doi.org/10.5281/zenodo.23737045</w:t>
        </w:r>
      </w:hyperlink>
      <w:r>
        <w:t xml:space="preserve">.</w:t>
      </w:r>
    </w:p>
    <w:bookmarkEnd w:id="196"/>
    <w:bookmarkStart w:id="198" w:name="ref-coderepo"/>
    <w:p>
      <w:pPr>
        <w:pStyle w:val="Bibliography"/>
      </w:pPr>
      <w:r>
        <w:t xml:space="preserve">66. Harrold ST. Study repository for the</w:t>
      </w:r>
      <w:r>
        <w:t xml:space="preserve"> </w:t>
      </w:r>
      <w:r>
        <w:t xml:space="preserve">MSSP</w:t>
      </w:r>
      <w:r>
        <w:t xml:space="preserve"> </w:t>
      </w:r>
      <w:r>
        <w:t xml:space="preserve">early-renewal study (</w:t>
      </w:r>
      <w:r>
        <w:t xml:space="preserve">analysis/mssp-benchmark-ratchet</w:t>
      </w:r>
      <w:r>
        <w:t xml:space="preserve">), with the data download script and rerun instructions, commit a0ef82f. 2026.</w:t>
      </w:r>
      <w:r>
        <w:t xml:space="preserve"> </w:t>
      </w:r>
      <w:hyperlink r:id="rId197">
        <w:r>
          <w:rPr>
            <w:rStyle w:val="Hyperlink"/>
          </w:rPr>
          <w:t xml:space="preserve">https://github.com/stharrold/stharrold.github.io/tree/a0ef82f5c63bf1c0f26e88597355e8d7afaa9095/analysis/mssp-benchmark-ratchet</w:t>
        </w:r>
      </w:hyperlink>
      <w:r>
        <w:t xml:space="preserve">. Accessed 30 Oct 2026.</w:t>
      </w:r>
    </w:p>
    <w:bookmarkEnd w:id="198"/>
    <w:bookmarkStart w:id="200" w:name="ref-post"/>
    <w:p>
      <w:pPr>
        <w:pStyle w:val="Bibliography"/>
      </w:pPr>
      <w:r>
        <w:t xml:space="preserve">67.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2026.</w:t>
      </w:r>
      <w:r>
        <w:t xml:space="preserve"> </w:t>
      </w:r>
      <w:hyperlink r:id="rId199">
        <w:r>
          <w:rPr>
            <w:rStyle w:val="Hyperlink"/>
          </w:rPr>
          <w:t xml:space="preserve">https://stharrold.github.io/20261027-preregistered-mssp-early-renewal.html</w:t>
        </w:r>
      </w:hyperlink>
      <w:r>
        <w:t xml:space="preserve">. Accessed 28 Oct 2026.</w:t>
      </w:r>
    </w:p>
    <w:bookmarkEnd w:id="200"/>
    <w:bookmarkEnd w:id="201"/>
    <w:bookmarkEnd w:id="202"/>
    <w:sectPr>
      <w:footerReference r:id="rIdBmcFooter" w:type="default"/>
      <w:footnotePr>
        <w:numRestart w:val="eachSect"/>
      </w:footnotePr>
      <w:pgSz w:h="15840" w:w="12240"/>
      <w:lnNumType w:countBy="1" w:restart="continuous"/>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3"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5" Target="https://doi.org/10.1038/s41586-020-2649-2" TargetMode="External" /><Relationship Type="http://schemas.openxmlformats.org/officeDocument/2006/relationships/hyperlink" Id="rId171" Target="https://doi.org/10.1038/s41592-019-0686-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9"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9" Target="https://doi.org/10.1145/3299869.3320212" TargetMode="External" /><Relationship Type="http://schemas.openxmlformats.org/officeDocument/2006/relationships/hyperlink" Id="rId187"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3"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5" Target="https://doi.org/10.25080/majora-92bf1922-011" TargetMode="External" /><Relationship Type="http://schemas.openxmlformats.org/officeDocument/2006/relationships/hyperlink" Id="rId155" Target="https://doi.org/10.5281/zenodo.17863280" TargetMode="External" /><Relationship Type="http://schemas.openxmlformats.org/officeDocument/2006/relationships/hyperlink" Id="rId195"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81" Target="https://github.com/astral-sh/uv" TargetMode="External" /><Relationship Type="http://schemas.openxmlformats.org/officeDocument/2006/relationships/hyperlink" Id="rId177" Target="https://github.com/dbt-labs/dbt/tree/v1.12.6" TargetMode="External" /><Relationship Type="http://schemas.openxmlformats.org/officeDocument/2006/relationships/hyperlink" Id="rId197" Target="https://github.com/stharrold/stharrold.github.io/tree/a0ef82f5c63bf1c0f26e88597355e8d7afaa9095/analysis/mssp-benchmark-ratchet"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9"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91"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3"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3"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5" Target="https://doi.org/10.1038/s41586-020-2649-2" TargetMode="External" /><Relationship Type="http://schemas.openxmlformats.org/officeDocument/2006/relationships/hyperlink" Id="rId171" Target="https://doi.org/10.1038/s41592-019-0686-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9"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9" Target="https://doi.org/10.1145/3299869.3320212" TargetMode="External" /><Relationship Type="http://schemas.openxmlformats.org/officeDocument/2006/relationships/hyperlink" Id="rId187"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3"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5" Target="https://doi.org/10.25080/majora-92bf1922-011" TargetMode="External" /><Relationship Type="http://schemas.openxmlformats.org/officeDocument/2006/relationships/hyperlink" Id="rId155" Target="https://doi.org/10.5281/zenodo.17863280" TargetMode="External" /><Relationship Type="http://schemas.openxmlformats.org/officeDocument/2006/relationships/hyperlink" Id="rId195"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81" Target="https://github.com/astral-sh/uv" TargetMode="External" /><Relationship Type="http://schemas.openxmlformats.org/officeDocument/2006/relationships/hyperlink" Id="rId177" Target="https://github.com/dbt-labs/dbt/tree/v1.12.6" TargetMode="External" /><Relationship Type="http://schemas.openxmlformats.org/officeDocument/2006/relationships/hyperlink" Id="rId197" Target="https://github.com/stharrold/stharrold.github.io/tree/a0ef82f5c63bf1c0f26e88597355e8d7afaa9095/analysis/mssp-benchmark-ratchet"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9"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91"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3"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2026-10-30T12:45:05Z</dcterms:created>
  <dcterms:modified xsi:type="dcterms:W3CDTF">2026-10-30T12:45:05Z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