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w:t>
      </w:r>
    </w:p>
    <w:p>
      <w:pPr>
        <w:pStyle w:val="Subtitle"/>
      </w:pPr>
      <w:r>
        <w:t xml:space="preserve">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eMethods. Registration record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 σ =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0.069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regression with cohort only. Regression rows are Bayesian regressions with 95% credible intervals and no permutation P value.</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x 100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Two ACOs without a census region (2) are excluded from the region model.</w:t>
      </w:r>
    </w:p>
    <w:bookmarkStart w:id="10" w:name="Xbb380d809b2723f99c0f38291f5ada62d815562"/>
    <w:p>
      <w:pPr>
        <w:pStyle w:val="Heading1"/>
      </w:pPr>
      <w:r>
        <w:t xml:space="preserve">eMethods. Registration record and deviations</w:t>
      </w:r>
    </w:p>
    <w:p>
      <w:pPr>
        <w:pStyle w:val="TableCaption"/>
      </w:pPr>
      <w:r>
        <w:t xml:space="preserve">eTable 10. Registration record</w:t>
      </w:r>
    </w:p>
    <w:tbl>
      <w:tblPr>
        <w:tblStyle w:val="Table"/>
        <w:tblW w:type="pct" w:w="5000"/>
        <w:tblLayout w:type="fixed"/>
        <w:tblLook w:firstRow="1" w:lastRow="0" w:firstColumn="0" w:lastColumn="0" w:noHBand="0" w:noVBand="0" w:val="0020"/>
        <w:tblCaption w:val="eTable 10.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or a county spending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Abstract</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Methods, Statistical analysis (single-cohort checks);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Methods, Statistical analysis (H4); eTable 8</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Tables 2-4; eTable 8</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and dollar translations)</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3-9</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dc:title>
  <dc:creator>Samuel Thomas Harrold</dc:creator>
  <dc:language>en-US</dc:language>
  <cp:keywords/>
  <dcterms:created xsi:type="dcterms:W3CDTF">2026-10-27T18:25:36Z</dcterms:created>
  <dcterms:modified xsi:type="dcterms:W3CDTF">2026-10-27T18:25:36Z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numbersections">
    <vt:lpwstr>False</vt:lpwstr>
  </property>
  <property fmtid="{D5CDD505-2E9C-101B-9397-08002B2CF9AE}" pid="22" name="papersize">
    <vt:lpwstr>letter</vt:lpwstr>
  </property>
  <property fmtid="{D5CDD505-2E9C-101B-9397-08002B2CF9AE}" pid="23" name="prevent-widows">
    <vt:lpwstr>True</vt:lpwstr>
  </property>
  <property fmtid="{D5CDD505-2E9C-101B-9397-08002B2CF9AE}" pid="24" name="subtitle">
    <vt:lpwstr>Why did Medicare ACOs reset their benchmarks early? A pre-registered analysis of early renewal in the Medicare Shared Savings Program</vt:lpwstr>
  </property>
  <property fmtid="{D5CDD505-2E9C-101B-9397-08002B2CF9AE}" pid="25" name="table-use-row-colors">
    <vt:lpwstr>False</vt:lpwstr>
  </property>
  <property fmtid="{D5CDD505-2E9C-101B-9397-08002B2CF9AE}" pid="26" name="titlepage">
    <vt:lpwstr>False</vt:lpwstr>
  </property>
  <property fmtid="{D5CDD505-2E9C-101B-9397-08002B2CF9AE}" pid="27" name="toc">
    <vt:lpwstr>False</vt:lpwstr>
  </property>
  <property fmtid="{D5CDD505-2E9C-101B-9397-08002B2CF9AE}" pid="28" name="urlcolor">
    <vt:lpwstr>blue</vt:lpwstr>
  </property>
</Properties>
</file>