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Original Paper</w:t>
      </w:r>
    </w:p>
    <w:p>
      <w:pPr>
        <w:pStyle w:val="BodyText"/>
      </w:pPr>
      <w:r>
        <w:t xml:space="preserve">Samuel Thomas Harrold, 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Corresponding Author: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Medicare Shared Savings Program (MSSP) benchmarks are reset at each new agreement from an accountable</w:t>
      </w:r>
      <w:r>
        <w:t xml:space="preserve"> </w:t>
      </w:r>
      <w:r>
        <w:t xml:space="preserve">care organization’s (ACO’s) recent spending, adjusted toward its region. ACOs could end an agreement early to reset</w:t>
      </w:r>
      <w:r>
        <w:t xml:space="preserve"> </w:t>
      </w:r>
      <w:r>
        <w:t xml:space="preserve">sooner; which ACOs did so has not been studied in the peer-reviewed literature.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aimed to test whether ACOs that renewed early stood to gain more from the regional part of a</w:t>
      </w:r>
      <w:r>
        <w:t xml:space="preserve"> </w:t>
      </w:r>
      <w:r>
        <w:t xml:space="preserve">reset, and whether their spending growth differed afterward.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preregistered retrospective cohort study included the 334 MSSP ACOs whose agreements began July 1,</w:t>
      </w:r>
      <w:r>
        <w:t xml:space="preserve"> </w:t>
      </w:r>
      <w:r>
        <w:t xml:space="preserve">2019 or January 1, 2020, using Centers for Medicare &amp; Medicaid Services (CMS) public use files (2016-2024). Plan,</w:t>
      </w:r>
      <w:r>
        <w:t xml:space="preserve"> </w:t>
      </w:r>
      <w:r>
        <w:t xml:space="preserve">decision rules and code were registered before any outcome data were read. The reset benchmark was rebuilt from 42</w:t>
      </w:r>
      <w:r>
        <w:t xml:space="preserve"> </w:t>
      </w:r>
      <w:r>
        <w:t xml:space="preserve">CFR 425.601 and validated against CMS’s published benchmarks for 101 other ACOs before use. For early renewal into a</w:t>
      </w:r>
      <w:r>
        <w:t xml:space="preserve"> </w:t>
      </w:r>
      <w:r>
        <w:t xml:space="preserve">January 1, 2022 agreement (29 ACOs vs 277 that stayed), the primary measure was the regional pull (case-mix-adjusted</w:t>
      </w:r>
      <w:r>
        <w:t xml:space="preserve"> </w:t>
      </w:r>
      <w:r>
        <w:t xml:space="preserve">regional spending relative to the current benchmark); the own-spending component of a reset and the BASIC risk level</w:t>
      </w:r>
      <w:r>
        <w:t xml:space="preserve"> </w:t>
      </w:r>
      <w:r>
        <w:t xml:space="preserve">were also examined. Groups were compared by Bayesian bootstrap and permutation tests, and early renewal was modeled by</w:t>
      </w:r>
      <w:r>
        <w:t xml:space="preserve"> </w:t>
      </w:r>
      <w:r>
        <w:t xml:space="preserve">Bayesian logistic regression with measurement error, tested by direct simulation. Per-capita spending growth in</w:t>
      </w:r>
      <w:r>
        <w:t xml:space="preserve"> </w:t>
      </w:r>
      <w:r>
        <w:t xml:space="preserve">2022-2024 was compared by difference-in-differences with a 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 ρ = 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higher, two-sided BASIC level (1.34; 95% CrI, 0.38 to 2.31). Spending growth did not differ detectably</w:t>
      </w:r>
      <w:r>
        <w:t xml:space="preserve"> </w:t>
      </w:r>
      <w:r>
        <w:t xml:space="preserve">(−0.4%; 95% CrI, −4.0% to 2.5%);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rate; the reset did</w:t>
      </w:r>
      <w:r>
        <w:t xml:space="preserve"> </w:t>
      </w:r>
      <w:r>
        <w:t xml:space="preserve">not on average raise their benchmarks. These are associations under the 2022 rules; benchmarks set from 2024 credit</w:t>
      </w:r>
      <w:r>
        <w:t xml:space="preserve"> </w:t>
      </w:r>
      <w:r>
        <w:t xml:space="preserve">prior savings.</w:t>
      </w:r>
    </w:p>
    <w:p>
      <w:pPr>
        <w:pStyle w:val="BodyText"/>
      </w:pPr>
      <w:r>
        <w:rPr>
          <w:b/>
          <w:bCs/>
        </w:rPr>
        <w:t xml:space="preserve">Trial Registration:</w:t>
      </w:r>
      <w:r>
        <w:t xml:space="preserve"> </w:t>
      </w:r>
      <w:r>
        <w:t xml:space="preserve">OSF Registries osf.io/c53w9; https://osf.io/c53w9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19</w:t>
        </w:r>
      </w:hyperlink>
      <w:r>
        <w:t xml:space="preserve">]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Which ACOs used the option bears on how benchmark rules sort ACOs, but to</w:t>
      </w:r>
      <w:r>
        <w:t xml:space="preserve"> </w:t>
      </w:r>
      <w:r>
        <w:t xml:space="preserve">the author’s knowledge it has not been studied in the peer-reviewed literature.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i/>
          <w:i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i/>
          <w:i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33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(checklist in Multimedia Appendix 2). The analysis plan and the code commit that implements it were registered on OSF (Open Science Framework)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Centers for Medicare &amp; Medicaid Services (CMS)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31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i/>
          <w:i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21" w:name="variables"/>
    <w:p>
      <w:pPr>
        <w:pStyle w:val="Heading2"/>
      </w:pPr>
      <w:r>
        <w:t xml:space="preserve">Variables</w:t>
      </w:r>
    </w:p>
    <w:bookmarkStart w:id="17" w:name="expected-gain-from-a-reset"/>
    <w:p>
      <w:pPr>
        <w:pStyle w:val="Heading3"/>
      </w:pPr>
      <w:r>
        <w:t xml:space="preserve">Expected Gain From a Reset</w:t>
      </w:r>
    </w:p>
    <w:p>
      <w:pPr>
        <w:pStyle w:val="FirstParagraph"/>
      </w:pP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 100 × (new − 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i/>
          <w:i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i/>
          <w:i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e</w:t>
      </w:r>
      <w:r>
        <w:t xml:space="preserve"> </w:t>
      </w:r>
      <w:r>
        <w:t xml:space="preserve">is the case-mix-adjusted regional spending for enrollment type</w:t>
      </w:r>
      <w:r>
        <w:t xml:space="preserve"> </w:t>
      </w:r>
      <w:r>
        <w:rPr>
          <w:i/>
          <w:iCs/>
        </w:rPr>
        <w:t xml:space="preserve">e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vertAlign w:val="subscript"/>
        </w:rPr>
        <w:t xml:space="preserve">e</w:t>
      </w:r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bookmarkEnd w:id="17"/>
    <w:bookmarkStart w:id="18" w:name="validation-before-use"/>
    <w:p>
      <w:pPr>
        <w:pStyle w:val="Heading3"/>
      </w:pPr>
      <w:r>
        <w:t xml:space="preserve">Validation Before Use</w:t>
      </w:r>
    </w:p>
    <w:p>
      <w:pPr>
        <w:pStyle w:val="FirstParagraph"/>
      </w:pP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bookmarkEnd w:id="18"/>
    <w:bookmarkStart w:id="19" w:name="other-variables"/>
    <w:p>
      <w:pPr>
        <w:pStyle w:val="Heading3"/>
      </w:pPr>
      <w:r>
        <w:t xml:space="preserve">Other Variables</w:t>
      </w:r>
    </w:p>
    <w:p>
      <w:pPr>
        <w:pStyle w:val="FirstParagraph"/>
      </w:pP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</w:p>
    <w:bookmarkEnd w:id="19"/>
    <w:bookmarkStart w:id="20" w:name="suppressed-values"/>
    <w:p>
      <w:pPr>
        <w:pStyle w:val="Heading3"/>
      </w:pPr>
      <w:r>
        <w:t xml:space="preserve">Suppressed Values</w:t>
      </w:r>
    </w:p>
    <w:p>
      <w:pPr>
        <w:pStyle w:val="FirstParagraph"/>
      </w:pP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20"/>
    <w:bookmarkEnd w:id="21"/>
    <w:bookmarkStart w:id="22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i/>
          <w:i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i/>
          <w:iCs/>
        </w:rPr>
        <w:t xml:space="preserve">H2a</w:t>
      </w:r>
      <w:r>
        <w:rPr>
          <w:i/>
          <w:iCs/>
        </w:rPr>
        <w:t xml:space="preserve"> </w:t>
      </w:r>
      <w:r>
        <w:rPr>
          <w:i/>
          <w:i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i/>
          <w:iCs/>
        </w:rPr>
        <w:t xml:space="preserve">H1</w:t>
      </w:r>
      <w:r>
        <w:rPr>
          <w:i/>
          <w:iCs/>
        </w:rPr>
        <w:t xml:space="preserve"> </w:t>
      </w:r>
      <w:r>
        <w:rPr>
          <w:i/>
          <w:i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i/>
          <w:i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i/>
          <w:i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22"/>
    <w:bookmarkStart w:id="30" w:name="statistical-analysis"/>
    <w:p>
      <w:pPr>
        <w:pStyle w:val="Heading2"/>
      </w:pPr>
      <w:r>
        <w:t xml:space="preserve">Statistical Analysis</w:t>
      </w:r>
    </w:p>
    <w:bookmarkStart w:id="23" w:name="group-comparisons-h1-h2a-h2b"/>
    <w:p>
      <w:pPr>
        <w:pStyle w:val="Heading3"/>
      </w:pPr>
      <w:r>
        <w:t xml:space="preserve">Group Comparisons (H1, H2a, H2b)</w:t>
      </w:r>
    </w:p>
    <w:p>
      <w:pPr>
        <w:pStyle w:val="FirstParagraph"/>
      </w:pP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bookmarkEnd w:id="23"/>
    <w:bookmarkStart w:id="24" w:name="decision-model-h3"/>
    <w:p>
      <w:pPr>
        <w:pStyle w:val="Heading3"/>
      </w:pPr>
      <w:r>
        <w:t xml:space="preserve">Decision Model (H3)</w:t>
      </w:r>
    </w:p>
    <w:p>
      <w:pPr>
        <w:pStyle w:val="FirstParagraph"/>
      </w:pP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40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bookmarkEnd w:id="24"/>
    <w:bookmarkStart w:id="25" w:name="spending-after-renewal-h4"/>
    <w:p>
      <w:pPr>
        <w:pStyle w:val="Heading3"/>
      </w:pPr>
      <w:r>
        <w:t xml:space="preserve">Spending After Renewal (H4)</w:t>
      </w:r>
    </w:p>
    <w:p>
      <w:pPr>
        <w:pStyle w:val="FirstParagraph"/>
      </w:pPr>
      <w:r>
        <w:t xml:space="preserve">For each ACO, Δ 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 Δ,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bookmarkEnd w:id="25"/>
    <w:bookmarkStart w:id="26" w:name="power"/>
    <w:p>
      <w:pPr>
        <w:pStyle w:val="Heading3"/>
      </w:pPr>
      <w:r>
        <w:t xml:space="preserve">Power</w:t>
      </w:r>
    </w:p>
    <w:p>
      <w:pPr>
        <w:pStyle w:val="FirstParagraph"/>
      </w:pPr>
      <w:r>
        <w:t xml:space="preserve">Minimum detectable effects (MDEs) at 80% power and 2-sided α 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bookmarkEnd w:id="26"/>
    <w:bookmarkStart w:id="27" w:name="decision-rules"/>
    <w:p>
      <w:pPr>
        <w:pStyle w:val="Heading3"/>
      </w:pPr>
      <w:r>
        <w:t xml:space="preserve">Decision Rules</w:t>
      </w:r>
    </w:p>
    <w:p>
      <w:pPr>
        <w:pStyle w:val="FirstParagraph"/>
      </w:pP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bookmarkEnd w:id="27"/>
    <w:bookmarkStart w:id="28" w:name="X3d1e5499a32e15aaf406abcc81d44387481ecc1"/>
    <w:p>
      <w:pPr>
        <w:pStyle w:val="Heading3"/>
      </w:pPr>
      <w:r>
        <w:t xml:space="preserve">Covariate-Adjusted Estimates, Conventional Methods, and Robustness</w:t>
      </w:r>
    </w:p>
    <w:p>
      <w:pPr>
        <w:pStyle w:val="FirstParagraph"/>
      </w:pP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Markov chain Monte Carlo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55</w:t>
        </w:r>
      </w:hyperlink>
      <w:r>
        <w:t xml:space="preserve">]</w:t>
      </w:r>
    </w:p>
    <w:bookmarkEnd w:id="28"/>
    <w:bookmarkStart w:id="29" w:name="deviations"/>
    <w:p>
      <w:pPr>
        <w:pStyle w:val="Heading3"/>
      </w:pPr>
      <w:r>
        <w:t xml:space="preserve">Deviations</w:t>
      </w:r>
    </w:p>
    <w:p>
      <w:pPr>
        <w:pStyle w:val="FirstParagraph"/>
      </w:pP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29"/>
    <w:bookmarkEnd w:id="30"/>
    <w:bookmarkStart w:id="31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two checks of the</w:t>
      </w:r>
      <w:r>
        <w:t xml:space="preserve"> </w:t>
      </w:r>
      <w:r>
        <w:t xml:space="preserve">expected gain were added (eTable 12 in Multimedia Appendix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</w:t>
      </w:r>
      <w:r>
        <w:t xml:space="preserve"> </w:t>
      </w:r>
      <w:r>
        <w:t xml:space="preserve">group-comparison estimator above.</w:t>
      </w:r>
    </w:p>
    <w:bookmarkEnd w:id="31"/>
    <w:bookmarkStart w:id="32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intervention or interaction with individuals and no identifiable private information, so it was not human subjects</w:t>
      </w:r>
      <w:r>
        <w:t xml:space="preserve"> </w:t>
      </w:r>
      <w:r>
        <w:t xml:space="preserve">research as defined by the US Federal Policy for the Protection of Human Subjects (45 CFR 46.102(e)(1)).</w:t>
      </w:r>
      <w:r>
        <w:t xml:space="preserve">[</w:t>
      </w:r>
      <w:hyperlink w:anchor="ref-cfr46102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Ethics review was therefore not sought, and informed consent, privacy protections for participants and compensation</w:t>
      </w:r>
      <w:r>
        <w:t xml:space="preserve"> </w:t>
      </w:r>
      <w:r>
        <w:t xml:space="preserve">did not apply.</w:t>
      </w:r>
    </w:p>
    <w:bookmarkEnd w:id="32"/>
    <w:bookmarkEnd w:id="33"/>
    <w:bookmarkStart w:id="51" w:name="results"/>
    <w:p>
      <w:pPr>
        <w:pStyle w:val="Heading1"/>
      </w:pPr>
      <w:r>
        <w:t xml:space="preserve">Results</w:t>
      </w:r>
    </w:p>
    <w:bookmarkStart w:id="37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Multimedia Appendix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35" name="Picture"/>
            <a:graphic>
              <a:graphicData uri="http://schemas.openxmlformats.org/drawingml/2006/picture">
                <pic:pic>
                  <pic:nvPicPr>
                    <pic:cNvPr descr="figures/figure1-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37"/>
    <w:bookmarkStart w:id="41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 savings. The decomposition qualifies that reading.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=.003):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=.33).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Multimedia Appendix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 α 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39" name="Picture"/>
            <a:graphic>
              <a:graphicData uri="http://schemas.openxmlformats.org/drawingml/2006/picture">
                <pic:pic>
                  <pic:nvPicPr>
                    <pic:cNvPr descr="figures/figure2-comparis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41"/>
    <w:bookmarkStart w:id="45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=.002)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=.003);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=.19);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Multimedia Appendix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43" name="Picture"/>
            <a:graphic>
              <a:graphicData uri="http://schemas.openxmlformats.org/drawingml/2006/picture">
                <pic:pic>
                  <pic:nvPicPr>
                    <pic:cNvPr descr="figures/figure3-decision-mod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Decision model of early renewal among BASIC-track ACOs (H3). Points are posterior means and lines 95% credible intervals; the shaded band is the Normal(0, 1) prior’s central 95%. Bold labels mark the core predictors.</w:t>
      </w:r>
    </w:p>
    <w:bookmarkEnd w:id="45"/>
    <w:bookmarkStart w:id="49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=.78;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=.58),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Multimedia Appendix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=.30).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47" name="Picture"/>
            <a:graphic>
              <a:graphicData uri="http://schemas.openxmlformats.org/drawingml/2006/picture">
                <pic:pic>
                  <pic:nvPicPr>
                    <pic:cNvPr descr="figures/figure4-spend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49"/>
    <w:bookmarkStart w:id="50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Multimedia Appendix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=.001),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Multimedia Appendix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=.09; H1,</w:t>
      </w:r>
      <w:r>
        <w:t xml:space="preserve"> </w:t>
      </w:r>
      <w:r>
        <w:rPr>
          <w:i/>
          <w:iCs/>
        </w:rPr>
        <w:t xml:space="preserve">P</w:t>
      </w:r>
      <w:r>
        <w:t xml:space="preserve">=.06)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Multimedia Appendix 1).</w:t>
      </w:r>
    </w:p>
    <w:p>
      <w:pPr>
        <w:pStyle w:val="BodyText"/>
      </w:pPr>
      <w:r>
        <w:t xml:space="preserve">Among the exploratory analyses (eTables 9-11 in Multimedia Appendix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50"/>
    <w:bookmarkEnd w:id="51"/>
    <w:bookmarkStart w:id="57" w:name="discussion"/>
    <w:p>
      <w:pPr>
        <w:pStyle w:val="Heading1"/>
      </w:pPr>
      <w:r>
        <w:t xml:space="preserve">Discussion</w:t>
      </w:r>
    </w:p>
    <w:bookmarkStart w:id="5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CMS’s published 2022 benchmarks, examined post hoc, agree.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bookmarkEnd w:id="52"/>
    <w:bookmarkStart w:id="53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</w:t>
      </w:r>
      <w:r>
        <w:t xml:space="preserve"> </w:t>
      </w:r>
      <w:r>
        <w:t xml:space="preserve">when to reset rather than whether to join or leave, and early renewers had, on average, more room under their regions’</w:t>
      </w:r>
      <w:r>
        <w:t xml:space="preserve"> </w:t>
      </w:r>
      <w:r>
        <w:t xml:space="preserve">spending. An industry analysis of the same rebasing cohort found that ACOs rebasing early in 2022 had higher gross</w:t>
      </w:r>
      <w:r>
        <w:t xml:space="preserve"> </w:t>
      </w:r>
      <w:r>
        <w:t xml:space="preserve">savings rates beforehand and that the earlier incumbents among them moved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consistent with</w:t>
      </w:r>
      <w:r>
        <w:t xml:space="preserve"> </w:t>
      </w:r>
      <w:r>
        <w:t xml:space="preserve">H1 and the BASIC-level association here.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but the same success meant that the own-spending part of a reset would have cut</w:t>
      </w:r>
      <w:r>
        <w:t xml:space="preserve"> </w:t>
      </w:r>
      <w:r>
        <w:t xml:space="preserve">their benchmarks, so the simple account that ACOs reset to get a higher benchmark does not describe them on average.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53"/>
    <w:bookmarkStart w:id="54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The 2024 rules also offer a test: 34</w:t>
      </w:r>
      <w:r>
        <w:t xml:space="preserve"> </w:t>
      </w:r>
      <w:r>
        <w:t xml:space="preserve">stayers renewed early into 2024 agreements under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54"/>
    <w:bookmarkStart w:id="5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This study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H2 and H3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55"/>
    <w:bookmarkStart w:id="56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and in CMS’s published 2022 benchmarks examined post hoc, the reset did not on average raise their</w:t>
      </w:r>
      <w:r>
        <w:t xml:space="preserve"> </w:t>
      </w:r>
      <w:r>
        <w:t xml:space="preserve">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</w:t>
      </w:r>
    </w:p>
    <w:bookmarkEnd w:id="56"/>
    <w:bookmarkEnd w:id="57"/>
    <w:bookmarkStart w:id="5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 declared no financial support was received for this work.</w:t>
      </w:r>
    </w:p>
    <w:bookmarkEnd w:id="58"/>
    <w:bookmarkStart w:id="59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is employed as a data scientist at Indiana University Health. This study was conducted independently of</w:t>
      </w:r>
      <w:r>
        <w:t xml:space="preserve"> </w:t>
      </w:r>
      <w:r>
        <w:t xml:space="preserve">that employment, using only public data, and Indiana University Health had no role in its design, analysis,</w:t>
      </w:r>
      <w:r>
        <w:t xml:space="preserve"> </w:t>
      </w:r>
      <w:r>
        <w:t xml:space="preserve">interpretation or reporting. The author declares no other competing interests. The views expressed are the author’s</w:t>
      </w:r>
      <w:r>
        <w:t xml:space="preserve"> </w:t>
      </w:r>
      <w:r>
        <w:t xml:space="preserve">own and do not represent the official positions of Indiana University Health.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The list of the 40 files</w:t>
      </w:r>
      <w:r>
        <w:t xml:space="preserve"> </w:t>
      </w:r>
      <w:r>
        <w:t xml:space="preserve">downloaded, with sizes, SHA-256 hashes and URLs, and a script that downloads and verifies them are in the study</w:t>
      </w:r>
      <w:r>
        <w:t xml:space="preserve"> </w:t>
      </w:r>
      <w:r>
        <w:t xml:space="preserve">repository;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repository.</w:t>
      </w:r>
      <w:r>
        <w:t xml:space="preserve">[</w:t>
      </w:r>
      <w:hyperlink w:anchor="ref-paperrepo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 </w:t>
      </w:r>
      <w:r>
        <w:t xml:space="preserve">The registered</w:t>
      </w:r>
      <w:r>
        <w:t xml:space="preserve"> </w:t>
      </w:r>
      <w:r>
        <w:t xml:space="preserve">analysis code (commit a4064f5), its tests and step-by-step instructions to rerun and adapt the analysis are in the study repository.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 longer account</w:t>
      </w:r>
      <w:r>
        <w:t xml:space="preserve"> </w:t>
      </w:r>
      <w:r>
        <w:t xml:space="preserve">of the study for a general audience was published online.</w:t>
      </w:r>
      <w:r>
        <w:t xml:space="preserve">[</w:t>
      </w:r>
      <w:hyperlink w:anchor="ref-post">
        <w:r>
          <w:rPr>
            <w:rStyle w:val="Hyperlink"/>
          </w:rPr>
          <w:t xml:space="preserve">61</w:t>
        </w:r>
      </w:hyperlink>
      <w:r>
        <w:t xml:space="preserve">]</w:t>
      </w:r>
    </w:p>
    <w:bookmarkEnd w:id="60"/>
    <w:bookmarkStart w:id="61" w:name="authors-contributions"/>
    <w:p>
      <w:pPr>
        <w:pStyle w:val="Heading1"/>
      </w:pPr>
      <w:r>
        <w:t xml:space="preserve">Authors’ Contributions</w:t>
      </w:r>
    </w:p>
    <w:p>
      <w:pPr>
        <w:pStyle w:val="FirstParagraph"/>
      </w:pPr>
      <w:r>
        <w:t xml:space="preserve">STH: conceptualization, data curation, formal analysis, investigation, methodology, software, validation,</w:t>
      </w:r>
      <w:r>
        <w:t xml:space="preserve"> </w:t>
      </w:r>
      <w:r>
        <w:t xml:space="preserve">visualization, writing (original draft) and writing (review and editing). STH is accountable for all aspects of the</w:t>
      </w:r>
      <w:r>
        <w:t xml:space="preserve"> </w:t>
      </w:r>
      <w:r>
        <w:t xml:space="preserve">work.</w:t>
      </w:r>
    </w:p>
    <w:bookmarkEnd w:id="61"/>
    <w:bookmarkStart w:id="62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ACO: accountable care organization</w:t>
      </w:r>
      <w:r>
        <w:br/>
      </w:r>
      <w:r>
        <w:t xml:space="preserve">CFR: Code of Federal Regulations</w:t>
      </w:r>
      <w:r>
        <w:br/>
      </w:r>
      <w:r>
        <w:t xml:space="preserve">CMS: Centers for Medicare &amp; Medicaid Services</w:t>
      </w:r>
      <w:r>
        <w:br/>
      </w:r>
      <w:r>
        <w:t xml:space="preserve">CrI: credible interval</w:t>
      </w:r>
      <w:r>
        <w:br/>
      </w:r>
      <w:r>
        <w:t xml:space="preserve">ESRD: end-stage renal disease</w:t>
      </w:r>
      <w:r>
        <w:br/>
      </w:r>
      <w:r>
        <w:t xml:space="preserve">MDE: minimum detectable effect</w:t>
      </w:r>
      <w:r>
        <w:br/>
      </w:r>
      <w:r>
        <w:t xml:space="preserve">MSSP: Medicare Shared Savings Program</w:t>
      </w:r>
      <w:r>
        <w:br/>
      </w:r>
      <w:r>
        <w:t xml:space="preserve">OSF: Open Science Framework</w:t>
      </w:r>
      <w:r>
        <w:br/>
      </w:r>
      <w:r>
        <w:t xml:space="preserve">PY: performance year</w:t>
      </w:r>
    </w:p>
    <w:bookmarkEnd w:id="62"/>
    <w:bookmarkStart w:id="185" w:name="references"/>
    <w:p>
      <w:pPr>
        <w:pStyle w:val="Heading1"/>
      </w:pPr>
      <w:r>
        <w:t xml:space="preserve">References</w:t>
      </w:r>
    </w:p>
    <w:bookmarkStart w:id="184" w:name="refs"/>
    <w:bookmarkStart w:id="64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63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64"/>
    <w:bookmarkStart w:id="66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65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66"/>
    <w:bookmarkStart w:id="68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67">
        <w:r>
          <w:rPr>
            <w:rStyle w:val="Hyperlink"/>
          </w:rPr>
          <w:t xml:space="preserve">10.1056/nejmsa1600142</w:t>
        </w:r>
      </w:hyperlink>
    </w:p>
    <w:bookmarkEnd w:id="68"/>
    <w:bookmarkStart w:id="70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69">
        <w:r>
          <w:rPr>
            <w:rStyle w:val="Hyperlink"/>
          </w:rPr>
          <w:t xml:space="preserve">10.1056/nejmsa1803388</w:t>
        </w:r>
      </w:hyperlink>
    </w:p>
    <w:bookmarkEnd w:id="70"/>
    <w:bookmarkStart w:id="72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71">
        <w:r>
          <w:rPr>
            <w:rStyle w:val="Hyperlink"/>
          </w:rPr>
          <w:t xml:space="preserve">10.1001/jama.2025.3870</w:t>
        </w:r>
      </w:hyperlink>
    </w:p>
    <w:bookmarkEnd w:id="72"/>
    <w:bookmarkStart w:id="74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73">
        <w:r>
          <w:rPr>
            <w:rStyle w:val="Hyperlink"/>
          </w:rPr>
          <w:t xml:space="preserve">10.1111/1468-0009.12468</w:t>
        </w:r>
      </w:hyperlink>
    </w:p>
    <w:bookmarkEnd w:id="74"/>
    <w:bookmarkStart w:id="76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75">
        <w:r>
          <w:rPr>
            <w:rStyle w:val="Hyperlink"/>
          </w:rPr>
          <w:t xml:space="preserve">10.7326/m18-2539</w:t>
        </w:r>
      </w:hyperlink>
    </w:p>
    <w:bookmarkEnd w:id="76"/>
    <w:bookmarkStart w:id="78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77">
        <w:r>
          <w:rPr>
            <w:rStyle w:val="Hyperlink"/>
          </w:rPr>
          <w:t xml:space="preserve">10.1377/hlthaff.2018.05407</w:t>
        </w:r>
      </w:hyperlink>
    </w:p>
    <w:bookmarkEnd w:id="78"/>
    <w:bookmarkStart w:id="80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79">
        <w:r>
          <w:rPr>
            <w:rStyle w:val="Hyperlink"/>
          </w:rPr>
          <w:t xml:space="preserve">10.1377/hlthaff.2014.0444</w:t>
        </w:r>
      </w:hyperlink>
    </w:p>
    <w:bookmarkEnd w:id="80"/>
    <w:bookmarkStart w:id="82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81">
        <w:r>
          <w:rPr>
            <w:rStyle w:val="Hyperlink"/>
          </w:rPr>
          <w:t xml:space="preserve">10.1377/hlthaff.2015.1026</w:t>
        </w:r>
      </w:hyperlink>
    </w:p>
    <w:bookmarkEnd w:id="82"/>
    <w:bookmarkStart w:id="84" w:name="ref-lyu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83">
        <w:r>
          <w:rPr>
            <w:rStyle w:val="Hyperlink"/>
          </w:rPr>
          <w:t xml:space="preserve">10.1377/hlthaff.2022.01061</w:t>
        </w:r>
      </w:hyperlink>
    </w:p>
    <w:bookmarkEnd w:id="84"/>
    <w:bookmarkStart w:id="86" w:name="ref-chen202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85">
        <w:r>
          <w:rPr>
            <w:rStyle w:val="Hyperlink"/>
          </w:rPr>
          <w:t xml:space="preserve">10.1086/726748</w:t>
        </w:r>
      </w:hyperlink>
    </w:p>
    <w:bookmarkEnd w:id="86"/>
    <w:bookmarkStart w:id="88" w:name="ref-srivastava202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87">
        <w:r>
          <w:rPr>
            <w:rStyle w:val="Hyperlink"/>
          </w:rPr>
          <w:t xml:space="preserve">10.1001/jamanetworkopen.2026.0166</w:t>
        </w:r>
      </w:hyperlink>
    </w:p>
    <w:bookmarkEnd w:id="88"/>
    <w:bookmarkStart w:id="90" w:name="ref-bleser2019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89">
        <w:r>
          <w:rPr>
            <w:rStyle w:val="Hyperlink"/>
          </w:rPr>
          <w:t xml:space="preserve">10.1377/hlthaff.2018.05097</w:t>
        </w:r>
      </w:hyperlink>
    </w:p>
    <w:bookmarkEnd w:id="90"/>
    <w:bookmarkStart w:id="92" w:name="ref-zhu202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91">
        <w:r>
          <w:rPr>
            <w:rStyle w:val="Hyperlink"/>
          </w:rPr>
          <w:t xml:space="preserve">10.1111/jrh.12672</w:t>
        </w:r>
      </w:hyperlink>
    </w:p>
    <w:bookmarkEnd w:id="92"/>
    <w:bookmarkStart w:id="94" w:name="ref-ying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93">
        <w:r>
          <w:rPr>
            <w:rStyle w:val="Hyperlink"/>
          </w:rPr>
          <w:t xml:space="preserve">10.1007/s11606-022-07947-x</w:t>
        </w:r>
      </w:hyperlink>
    </w:p>
    <w:bookmarkEnd w:id="94"/>
    <w:bookmarkStart w:id="96" w:name="ref-ying202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95">
        <w:r>
          <w:rPr>
            <w:rStyle w:val="Hyperlink"/>
          </w:rPr>
          <w:t xml:space="preserve">10.1093/haschl/qxad093</w:t>
        </w:r>
      </w:hyperlink>
    </w:p>
    <w:bookmarkEnd w:id="96"/>
    <w:bookmarkStart w:id="98" w:name="ref-moloci202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97">
        <w:r>
          <w:rPr>
            <w:rStyle w:val="Hyperlink"/>
          </w:rPr>
          <w:t xml:space="preserve">10.1007/s11606-020-06424-7</w:t>
        </w:r>
      </w:hyperlink>
    </w:p>
    <w:bookmarkEnd w:id="98"/>
    <w:bookmarkStart w:id="100" w:name="ref-trombley202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99">
        <w:r>
          <w:rPr>
            <w:rStyle w:val="Hyperlink"/>
          </w:rPr>
          <w:t xml:space="preserve">10.1377/hlthaff.2020.01819</w:t>
        </w:r>
      </w:hyperlink>
    </w:p>
    <w:bookmarkEnd w:id="100"/>
    <w:bookmarkStart w:id="102" w:name="ref-frpathway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101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102"/>
    <w:bookmarkStart w:id="104" w:name="ref-dataaco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103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104"/>
    <w:bookmarkStart w:id="106" w:name="ref-milliman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</w:t>
      </w:r>
      <w:r>
        <w:t xml:space="preserve"> </w:t>
      </w:r>
      <w:hyperlink r:id="rId105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106"/>
    <w:bookmarkStart w:id="108" w:name="ref-milliman202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</w:t>
      </w:r>
      <w:r>
        <w:t xml:space="preserve"> </w:t>
      </w:r>
      <w:hyperlink r:id="rId107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108"/>
    <w:bookmarkStart w:id="109" w:name="ref-registration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109"/>
    <w:bookmarkStart w:id="111" w:name="ref-vonelm2007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110">
        <w:r>
          <w:rPr>
            <w:rStyle w:val="Hyperlink"/>
          </w:rPr>
          <w:t xml:space="preserve">10.1371/journal.pmed.0040296</w:t>
        </w:r>
      </w:hyperlink>
    </w:p>
    <w:bookmarkEnd w:id="111"/>
    <w:bookmarkStart w:id="113" w:name="ref-code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112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113"/>
    <w:bookmarkStart w:id="115" w:name="ref-dataresult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14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15"/>
    <w:bookmarkStart w:id="117" w:name="ref-datacounty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16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17"/>
    <w:bookmarkStart w:id="119" w:name="ref-dataassigned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18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19"/>
    <w:bookmarkStart w:id="121" w:name="ref-osfproject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20">
        <w:r>
          <w:rPr>
            <w:rStyle w:val="Hyperlink"/>
          </w:rPr>
          <w:t xml:space="preserve">10.17605/OSF.IO/Z4AN5</w:t>
        </w:r>
      </w:hyperlink>
    </w:p>
    <w:bookmarkEnd w:id="121"/>
    <w:bookmarkStart w:id="123" w:name="ref-suppression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22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23"/>
    <w:bookmarkStart w:id="125" w:name="ref-specv10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24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25"/>
    <w:bookmarkStart w:id="127" w:name="ref-cfr425600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</w:t>
      </w:r>
      <w:r>
        <w:t xml:space="preserve"> </w:t>
      </w:r>
      <w:hyperlink r:id="rId126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27"/>
    <w:bookmarkStart w:id="129" w:name="ref-rubin1981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28">
        <w:r>
          <w:rPr>
            <w:rStyle w:val="Hyperlink"/>
          </w:rPr>
          <w:t xml:space="preserve">10.1214/aos/1176345338</w:t>
        </w:r>
      </w:hyperlink>
    </w:p>
    <w:bookmarkEnd w:id="129"/>
    <w:bookmarkStart w:id="131" w:name="ref-phipson2010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30">
        <w:r>
          <w:rPr>
            <w:rStyle w:val="Hyperlink"/>
          </w:rPr>
          <w:t xml:space="preserve">10.2202/1544-6115.1585</w:t>
        </w:r>
      </w:hyperlink>
    </w:p>
    <w:bookmarkEnd w:id="131"/>
    <w:bookmarkStart w:id="133" w:name="ref-pymc2023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32">
        <w:r>
          <w:rPr>
            <w:rStyle w:val="Hyperlink"/>
          </w:rPr>
          <w:t xml:space="preserve">10.7717/peerj-cs.1516</w:t>
        </w:r>
      </w:hyperlink>
    </w:p>
    <w:bookmarkEnd w:id="133"/>
    <w:bookmarkStart w:id="135" w:name="ref-hoffman2014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34">
        <w:r>
          <w:rPr>
            <w:rStyle w:val="Hyperlink"/>
          </w:rPr>
          <w:t xml:space="preserve">https://jmlr.org/papers/v15/hoffman14a.html</w:t>
        </w:r>
      </w:hyperlink>
    </w:p>
    <w:bookmarkEnd w:id="135"/>
    <w:bookmarkStart w:id="137" w:name="ref-gelman2008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36">
        <w:r>
          <w:rPr>
            <w:rStyle w:val="Hyperlink"/>
          </w:rPr>
          <w:t xml:space="preserve">10.1002/sim.3107</w:t>
        </w:r>
      </w:hyperlink>
    </w:p>
    <w:bookmarkEnd w:id="137"/>
    <w:bookmarkStart w:id="139" w:name="ref-vehtari2021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38">
        <w:r>
          <w:rPr>
            <w:rStyle w:val="Hyperlink"/>
          </w:rPr>
          <w:t xml:space="preserve">10.1214/20-ba1221</w:t>
        </w:r>
      </w:hyperlink>
    </w:p>
    <w:bookmarkEnd w:id="139"/>
    <w:bookmarkStart w:id="141" w:name="ref-firth199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40">
        <w:r>
          <w:rPr>
            <w:rStyle w:val="Hyperlink"/>
          </w:rPr>
          <w:t xml:space="preserve">10.1093/biomet/80.1.27</w:t>
        </w:r>
      </w:hyperlink>
    </w:p>
    <w:bookmarkEnd w:id="141"/>
    <w:bookmarkStart w:id="143" w:name="ref-firthmodels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42">
        <w:r>
          <w:rPr>
            <w:rStyle w:val="Hyperlink"/>
          </w:rPr>
          <w:t xml:space="preserve">https://github.com/jzluo/firthmodels</w:t>
        </w:r>
      </w:hyperlink>
    </w:p>
    <w:bookmarkEnd w:id="143"/>
    <w:bookmarkStart w:id="145" w:name="ref-gelmanprior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44">
        <w:r>
          <w:rPr>
            <w:rStyle w:val="Hyperlink"/>
          </w:rPr>
          <w:t xml:space="preserve">10.1214/08-aoas191</w:t>
        </w:r>
      </w:hyperlink>
    </w:p>
    <w:bookmarkEnd w:id="145"/>
    <w:bookmarkStart w:id="147" w:name="ref-callaway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46">
        <w:r>
          <w:rPr>
            <w:rStyle w:val="Hyperlink"/>
          </w:rPr>
          <w:t xml:space="preserve">10.1016/j.jeconom.2020.12.001</w:t>
        </w:r>
      </w:hyperlink>
    </w:p>
    <w:bookmarkEnd w:id="147"/>
    <w:bookmarkStart w:id="149" w:name="ref-roth2022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48">
        <w:r>
          <w:rPr>
            <w:rStyle w:val="Hyperlink"/>
          </w:rPr>
          <w:t xml:space="preserve">10.1257/aeri.20210236</w:t>
        </w:r>
      </w:hyperlink>
    </w:p>
    <w:bookmarkEnd w:id="149"/>
    <w:bookmarkStart w:id="151" w:name="ref-lakens2017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50">
        <w:r>
          <w:rPr>
            <w:rStyle w:val="Hyperlink"/>
          </w:rPr>
          <w:t xml:space="preserve">10.1177/1948550617697177</w:t>
        </w:r>
      </w:hyperlink>
    </w:p>
    <w:bookmarkEnd w:id="151"/>
    <w:bookmarkStart w:id="153" w:name="ref-rambachan2023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52">
        <w:r>
          <w:rPr>
            <w:rStyle w:val="Hyperlink"/>
          </w:rPr>
          <w:t xml:space="preserve">10.1093/restud/rdad018</w:t>
        </w:r>
      </w:hyperlink>
    </w:p>
    <w:bookmarkEnd w:id="153"/>
    <w:bookmarkStart w:id="155" w:name="ref-rosenbaum1983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54">
        <w:r>
          <w:rPr>
            <w:rStyle w:val="Hyperlink"/>
          </w:rPr>
          <w:t xml:space="preserve">10.1093/biomet/70.1.41</w:t>
        </w:r>
      </w:hyperlink>
    </w:p>
    <w:bookmarkEnd w:id="155"/>
    <w:bookmarkStart w:id="157" w:name="ref-welch1947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56">
        <w:r>
          <w:rPr>
            <w:rStyle w:val="Hyperlink"/>
          </w:rPr>
          <w:t xml:space="preserve">10.1093/biomet/34.1-2.28</w:t>
        </w:r>
      </w:hyperlink>
    </w:p>
    <w:bookmarkEnd w:id="157"/>
    <w:bookmarkStart w:id="159" w:name="ref-mackinnon1985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58">
        <w:r>
          <w:rPr>
            <w:rStyle w:val="Hyperlink"/>
          </w:rPr>
          <w:t xml:space="preserve">10.1016/0304-4076(85)90158-7</w:t>
        </w:r>
      </w:hyperlink>
    </w:p>
    <w:bookmarkEnd w:id="159"/>
    <w:bookmarkStart w:id="161" w:name="ref-statsmodels2010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60">
        <w:r>
          <w:rPr>
            <w:rStyle w:val="Hyperlink"/>
          </w:rPr>
          <w:t xml:space="preserve">10.25080/majora-92bf1922-011</w:t>
        </w:r>
      </w:hyperlink>
    </w:p>
    <w:bookmarkEnd w:id="161"/>
    <w:bookmarkStart w:id="163" w:name="ref-dbt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62">
        <w:r>
          <w:rPr>
            <w:rStyle w:val="Hyperlink"/>
          </w:rPr>
          <w:t xml:space="preserve">https://github.com/dbt-labs/dbt-core</w:t>
        </w:r>
      </w:hyperlink>
    </w:p>
    <w:bookmarkEnd w:id="163"/>
    <w:bookmarkStart w:id="165" w:name="ref-duckdb2019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64">
        <w:r>
          <w:rPr>
            <w:rStyle w:val="Hyperlink"/>
          </w:rPr>
          <w:t xml:space="preserve">10.1145/3299869.3320212</w:t>
        </w:r>
      </w:hyperlink>
    </w:p>
    <w:bookmarkEnd w:id="165"/>
    <w:bookmarkStart w:id="167" w:name="ref-uv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66">
        <w:r>
          <w:rPr>
            <w:rStyle w:val="Hyperlink"/>
          </w:rPr>
          <w:t xml:space="preserve">https://github.com/astral-sh/uv</w:t>
        </w:r>
      </w:hyperlink>
    </w:p>
    <w:bookmarkEnd w:id="167"/>
    <w:bookmarkStart w:id="169" w:name="ref-arviz2019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68">
        <w:r>
          <w:rPr>
            <w:rStyle w:val="Hyperlink"/>
          </w:rPr>
          <w:t xml:space="preserve">10.21105/joss.01143</w:t>
        </w:r>
      </w:hyperlink>
    </w:p>
    <w:bookmarkEnd w:id="169"/>
    <w:bookmarkStart w:id="171" w:name="ref-numpy2020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70">
        <w:r>
          <w:rPr>
            <w:rStyle w:val="Hyperlink"/>
          </w:rPr>
          <w:t xml:space="preserve">10.1038/s41586-020-2649-2</w:t>
        </w:r>
      </w:hyperlink>
    </w:p>
    <w:bookmarkEnd w:id="171"/>
    <w:bookmarkStart w:id="173" w:name="ref-cfr46102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US Department of Health and Human Services. 45</w:t>
      </w:r>
      <w:r>
        <w:t xml:space="preserve"> </w:t>
      </w:r>
      <w:r>
        <w:t xml:space="preserve">CFR</w:t>
      </w:r>
      <w:r>
        <w:t xml:space="preserve"> </w:t>
      </w:r>
      <w:r>
        <w:t xml:space="preserve">46.102:</w:t>
      </w:r>
      <w:r>
        <w:t xml:space="preserve"> </w:t>
      </w:r>
      <w:r>
        <w:t xml:space="preserve">Definitions</w:t>
      </w:r>
      <w:r>
        <w:t xml:space="preserve"> </w:t>
      </w:r>
      <w:r>
        <w:t xml:space="preserve">for purposes of this policy. Published online 2026.</w:t>
      </w:r>
      <w:r>
        <w:t xml:space="preserve"> </w:t>
      </w:r>
      <w:hyperlink r:id="rId172">
        <w:r>
          <w:rPr>
            <w:rStyle w:val="Hyperlink"/>
          </w:rPr>
          <w:t xml:space="preserve">https://www.ecfr.gov/on/2026-10-01/title-45/subtitle-A/subchapter-A/part-46/subpart-A/section-46.102#p-46.102%28e%29%281%29</w:t>
        </w:r>
      </w:hyperlink>
    </w:p>
    <w:bookmarkEnd w:id="173"/>
    <w:bookmarkStart w:id="175" w:name="ref-gelmancarlin2014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74">
        <w:r>
          <w:rPr>
            <w:rStyle w:val="Hyperlink"/>
          </w:rPr>
          <w:t xml:space="preserve">10.1177/1745691614551642</w:t>
        </w:r>
      </w:hyperlink>
    </w:p>
    <w:bookmarkEnd w:id="175"/>
    <w:bookmarkStart w:id="177" w:name="ref-cfr2024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76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77"/>
    <w:bookmarkStart w:id="179" w:name="ref-aha2021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</w:t>
      </w:r>
      <w:r>
        <w:t xml:space="preserve"> </w:t>
      </w:r>
      <w:hyperlink r:id="rId178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79"/>
    <w:bookmarkStart w:id="181" w:name="ref-paperrepo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Harrold ST. Manuscript repository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study: Text, generated tables and figures, and committed results files. Published online 2026.</w:t>
      </w:r>
      <w:r>
        <w:t xml:space="preserve"> </w:t>
      </w:r>
      <w:hyperlink r:id="rId180">
        <w:r>
          <w:rPr>
            <w:rStyle w:val="Hyperlink"/>
          </w:rPr>
          <w:t xml:space="preserve">https://github.com/stharrold/mssp-paper-2026</w:t>
        </w:r>
      </w:hyperlink>
    </w:p>
    <w:bookmarkEnd w:id="181"/>
    <w:bookmarkStart w:id="183" w:name="ref-post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82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hyperlink" Id="rId103" Target="https://data.cms.gov/medicare-shared-savings-program/accountable-care-organizations" TargetMode="External" /><Relationship Type="http://schemas.openxmlformats.org/officeDocument/2006/relationships/hyperlink" Id="rId116" Target="https://data.cms.gov/medicare-shared-savings-program/county-level-aggregate-expenditure-and-risk-score-data-on-assignable-beneficiaries" TargetMode="External" /><Relationship Type="http://schemas.openxmlformats.org/officeDocument/2006/relationships/hyperlink" Id="rId118" Target="https://data.cms.gov/medicare-shared-savings-program/number-of-accountable-care-organization-assigned-beneficiaries-by-county" TargetMode="External" /><Relationship Type="http://schemas.openxmlformats.org/officeDocument/2006/relationships/hyperlink" Id="rId114" Target="https://data.cms.gov/medicare-shared-savings-program/performance-year-financial-and-quality-results" TargetMode="External" /><Relationship Type="http://schemas.openxmlformats.org/officeDocument/2006/relationships/hyperlink" Id="rId71" Target="https://doi.org/10.1001/jama.2025.3870" TargetMode="External" /><Relationship Type="http://schemas.openxmlformats.org/officeDocument/2006/relationships/hyperlink" Id="rId87" Target="https://doi.org/10.1001/jamanetworkopen.2026.0166" TargetMode="External" /><Relationship Type="http://schemas.openxmlformats.org/officeDocument/2006/relationships/hyperlink" Id="rId136" Target="https://doi.org/10.1002/sim.3107" TargetMode="External" /><Relationship Type="http://schemas.openxmlformats.org/officeDocument/2006/relationships/hyperlink" Id="rId97" Target="https://doi.org/10.1007/s11606-020-06424-7" TargetMode="External" /><Relationship Type="http://schemas.openxmlformats.org/officeDocument/2006/relationships/hyperlink" Id="rId93" Target="https://doi.org/10.1007/s11606-022-07947-x" TargetMode="External" /><Relationship Type="http://schemas.openxmlformats.org/officeDocument/2006/relationships/hyperlink" Id="rId158" Target="https://doi.org/10.1016/0304-4076(85)90158-7" TargetMode="External" /><Relationship Type="http://schemas.openxmlformats.org/officeDocument/2006/relationships/hyperlink" Id="rId146" Target="https://doi.org/10.1016/j.jeconom.2020.12.001" TargetMode="External" /><Relationship Type="http://schemas.openxmlformats.org/officeDocument/2006/relationships/hyperlink" Id="rId170" Target="https://doi.org/10.1038/s41586-020-2649-2" TargetMode="External" /><Relationship Type="http://schemas.openxmlformats.org/officeDocument/2006/relationships/hyperlink" Id="rId67" Target="https://doi.org/10.1056/nejmsa1600142" TargetMode="External" /><Relationship Type="http://schemas.openxmlformats.org/officeDocument/2006/relationships/hyperlink" Id="rId69" Target="https://doi.org/10.1056/nejmsa1803388" TargetMode="External" /><Relationship Type="http://schemas.openxmlformats.org/officeDocument/2006/relationships/hyperlink" Id="rId85" Target="https://doi.org/10.1086/726748" TargetMode="External" /><Relationship Type="http://schemas.openxmlformats.org/officeDocument/2006/relationships/hyperlink" Id="rId156" Target="https://doi.org/10.1093/biomet/34.1-2.28" TargetMode="External" /><Relationship Type="http://schemas.openxmlformats.org/officeDocument/2006/relationships/hyperlink" Id="rId154" Target="https://doi.org/10.1093/biomet/70.1.41" TargetMode="External" /><Relationship Type="http://schemas.openxmlformats.org/officeDocument/2006/relationships/hyperlink" Id="rId140" Target="https://doi.org/10.1093/biomet/80.1.27" TargetMode="External" /><Relationship Type="http://schemas.openxmlformats.org/officeDocument/2006/relationships/hyperlink" Id="rId95" Target="https://doi.org/10.1093/haschl/qxad093" TargetMode="External" /><Relationship Type="http://schemas.openxmlformats.org/officeDocument/2006/relationships/hyperlink" Id="rId152" Target="https://doi.org/10.1093/restud/rdad018" TargetMode="External" /><Relationship Type="http://schemas.openxmlformats.org/officeDocument/2006/relationships/hyperlink" Id="rId73" Target="https://doi.org/10.1111/1468-0009.12468" TargetMode="External" /><Relationship Type="http://schemas.openxmlformats.org/officeDocument/2006/relationships/hyperlink" Id="rId91" Target="https://doi.org/10.1111/jrh.12672" TargetMode="External" /><Relationship Type="http://schemas.openxmlformats.org/officeDocument/2006/relationships/hyperlink" Id="rId164" Target="https://doi.org/10.1145/3299869.3320212" TargetMode="External" /><Relationship Type="http://schemas.openxmlformats.org/officeDocument/2006/relationships/hyperlink" Id="rId174" Target="https://doi.org/10.1177/1745691614551642" TargetMode="External" /><Relationship Type="http://schemas.openxmlformats.org/officeDocument/2006/relationships/hyperlink" Id="rId150" Target="https://doi.org/10.1177/1948550617697177" TargetMode="External" /><Relationship Type="http://schemas.openxmlformats.org/officeDocument/2006/relationships/hyperlink" Id="rId144" Target="https://doi.org/10.1214/08-aoas191" TargetMode="External" /><Relationship Type="http://schemas.openxmlformats.org/officeDocument/2006/relationships/hyperlink" Id="rId138" Target="https://doi.org/10.1214/20-ba1221" TargetMode="External" /><Relationship Type="http://schemas.openxmlformats.org/officeDocument/2006/relationships/hyperlink" Id="rId128" Target="https://doi.org/10.1214/aos/1176345338" TargetMode="External" /><Relationship Type="http://schemas.openxmlformats.org/officeDocument/2006/relationships/hyperlink" Id="rId148" Target="https://doi.org/10.1257/aeri.20210236" TargetMode="External" /><Relationship Type="http://schemas.openxmlformats.org/officeDocument/2006/relationships/hyperlink" Id="rId110" Target="https://doi.org/10.1371/journal.pmed.0040296" TargetMode="External" /><Relationship Type="http://schemas.openxmlformats.org/officeDocument/2006/relationships/hyperlink" Id="rId79" Target="https://doi.org/10.1377/hlthaff.2014.0444" TargetMode="External" /><Relationship Type="http://schemas.openxmlformats.org/officeDocument/2006/relationships/hyperlink" Id="rId81" Target="https://doi.org/10.1377/hlthaff.2015.1026" TargetMode="External" /><Relationship Type="http://schemas.openxmlformats.org/officeDocument/2006/relationships/hyperlink" Id="rId89" Target="https://doi.org/10.1377/hlthaff.2018.05097" TargetMode="External" /><Relationship Type="http://schemas.openxmlformats.org/officeDocument/2006/relationships/hyperlink" Id="rId77" Target="https://doi.org/10.1377/hlthaff.2018.05407" TargetMode="External" /><Relationship Type="http://schemas.openxmlformats.org/officeDocument/2006/relationships/hyperlink" Id="rId99" Target="https://doi.org/10.1377/hlthaff.2020.01819" TargetMode="External" /><Relationship Type="http://schemas.openxmlformats.org/officeDocument/2006/relationships/hyperlink" Id="rId83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0" Target="https://doi.org/10.17605/OSF.IO/Z4AN5" TargetMode="External" /><Relationship Type="http://schemas.openxmlformats.org/officeDocument/2006/relationships/hyperlink" Id="rId168" Target="https://doi.org/10.21105/joss.01143" TargetMode="External" /><Relationship Type="http://schemas.openxmlformats.org/officeDocument/2006/relationships/hyperlink" Id="rId130" Target="https://doi.org/10.2202/1544-6115.1585" TargetMode="External" /><Relationship Type="http://schemas.openxmlformats.org/officeDocument/2006/relationships/hyperlink" Id="rId160" Target="https://doi.org/10.25080/majora-92bf1922-011" TargetMode="External" /><Relationship Type="http://schemas.openxmlformats.org/officeDocument/2006/relationships/hyperlink" Id="rId75" Target="https://doi.org/10.7326/m18-2539" TargetMode="External" /><Relationship Type="http://schemas.openxmlformats.org/officeDocument/2006/relationships/hyperlink" Id="rId132" Target="https://doi.org/10.7717/peerj-cs.1516" TargetMode="External" /><Relationship Type="http://schemas.openxmlformats.org/officeDocument/2006/relationships/hyperlink" Id="rId107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66" Target="https://github.com/astral-sh/uv" TargetMode="External" /><Relationship Type="http://schemas.openxmlformats.org/officeDocument/2006/relationships/hyperlink" Id="rId162" Target="https://github.com/dbt-labs/dbt-core" TargetMode="External" /><Relationship Type="http://schemas.openxmlformats.org/officeDocument/2006/relationships/hyperlink" Id="rId142" Target="https://github.com/jzluo/firthmodels" TargetMode="External" /><Relationship Type="http://schemas.openxmlformats.org/officeDocument/2006/relationships/hyperlink" Id="rId180" Target="https://github.com/stharrold/mssp-paper-2026" TargetMode="External" /><Relationship Type="http://schemas.openxmlformats.org/officeDocument/2006/relationships/hyperlink" Id="rId112" Target="https://github.com/stharrold/stharrold.github.io/tree/a4064f592a492d971ce3c27e95afb3050e6bc01d/analysis/mssp-benchmark-ratchet" TargetMode="External" /><Relationship Type="http://schemas.openxmlformats.org/officeDocument/2006/relationships/hyperlink" Id="rId134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82" Target="https://stharrold.github.io/20261027-preregistered-mssp-early-renewal.html" TargetMode="External" /><Relationship Type="http://schemas.openxmlformats.org/officeDocument/2006/relationships/hyperlink" Id="rId122" Target="https://web.archive.org/web/20250516214605/https://www.hhs.gov/guidance/document/cms-cell-suppression-policy" TargetMode="External" /><Relationship Type="http://schemas.openxmlformats.org/officeDocument/2006/relationships/hyperlink" Id="rId178" Target="https://www.aha.org/lettercomment/2021-10-14-aha-others-cms-re-request-provide-mssp-acos-option-use-pre-pandemic-years" TargetMode="External" /><Relationship Type="http://schemas.openxmlformats.org/officeDocument/2006/relationships/hyperlink" Id="rId124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26" Target="https://www.ecfr.gov/on/2022-01-01/title-42/chapter-IV/subchapter-B/part-425/subpart-G/section-425.600#p-425.600%28d%29" TargetMode="External" /><Relationship Type="http://schemas.openxmlformats.org/officeDocument/2006/relationships/hyperlink" Id="rId65" Target="https://www.ecfr.gov/on/2022-01-01/title-42/chapter-IV/subchapter-B/part-425/subpart-G/section-425.601" TargetMode="External" /><Relationship Type="http://schemas.openxmlformats.org/officeDocument/2006/relationships/hyperlink" Id="rId176" Target="https://www.ecfr.gov/on/2024-01-01/title-42/chapter-IV/subchapter-B/part-425/subpart-G/section-425.652" TargetMode="External" /><Relationship Type="http://schemas.openxmlformats.org/officeDocument/2006/relationships/hyperlink" Id="rId172" Target="https://www.ecfr.gov/on/2026-10-01/title-45/subtitle-A/subchapter-A/part-46/subpart-A/section-46.102#p-46.102%28e%29%281%29" TargetMode="External" /><Relationship Type="http://schemas.openxmlformats.org/officeDocument/2006/relationships/hyperlink" Id="rId101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5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ata.cms.gov/medicare-shared-savings-program/accountable-care-organizations" TargetMode="External" /><Relationship Type="http://schemas.openxmlformats.org/officeDocument/2006/relationships/hyperlink" Id="rId116" Target="https://data.cms.gov/medicare-shared-savings-program/county-level-aggregate-expenditure-and-risk-score-data-on-assignable-beneficiaries" TargetMode="External" /><Relationship Type="http://schemas.openxmlformats.org/officeDocument/2006/relationships/hyperlink" Id="rId118" Target="https://data.cms.gov/medicare-shared-savings-program/number-of-accountable-care-organization-assigned-beneficiaries-by-county" TargetMode="External" /><Relationship Type="http://schemas.openxmlformats.org/officeDocument/2006/relationships/hyperlink" Id="rId114" Target="https://data.cms.gov/medicare-shared-savings-program/performance-year-financial-and-quality-results" TargetMode="External" /><Relationship Type="http://schemas.openxmlformats.org/officeDocument/2006/relationships/hyperlink" Id="rId71" Target="https://doi.org/10.1001/jama.2025.3870" TargetMode="External" /><Relationship Type="http://schemas.openxmlformats.org/officeDocument/2006/relationships/hyperlink" Id="rId87" Target="https://doi.org/10.1001/jamanetworkopen.2026.0166" TargetMode="External" /><Relationship Type="http://schemas.openxmlformats.org/officeDocument/2006/relationships/hyperlink" Id="rId136" Target="https://doi.org/10.1002/sim.3107" TargetMode="External" /><Relationship Type="http://schemas.openxmlformats.org/officeDocument/2006/relationships/hyperlink" Id="rId97" Target="https://doi.org/10.1007/s11606-020-06424-7" TargetMode="External" /><Relationship Type="http://schemas.openxmlformats.org/officeDocument/2006/relationships/hyperlink" Id="rId93" Target="https://doi.org/10.1007/s11606-022-07947-x" TargetMode="External" /><Relationship Type="http://schemas.openxmlformats.org/officeDocument/2006/relationships/hyperlink" Id="rId158" Target="https://doi.org/10.1016/0304-4076(85)90158-7" TargetMode="External" /><Relationship Type="http://schemas.openxmlformats.org/officeDocument/2006/relationships/hyperlink" Id="rId146" Target="https://doi.org/10.1016/j.jeconom.2020.12.001" TargetMode="External" /><Relationship Type="http://schemas.openxmlformats.org/officeDocument/2006/relationships/hyperlink" Id="rId170" Target="https://doi.org/10.1038/s41586-020-2649-2" TargetMode="External" /><Relationship Type="http://schemas.openxmlformats.org/officeDocument/2006/relationships/hyperlink" Id="rId67" Target="https://doi.org/10.1056/nejmsa1600142" TargetMode="External" /><Relationship Type="http://schemas.openxmlformats.org/officeDocument/2006/relationships/hyperlink" Id="rId69" Target="https://doi.org/10.1056/nejmsa1803388" TargetMode="External" /><Relationship Type="http://schemas.openxmlformats.org/officeDocument/2006/relationships/hyperlink" Id="rId85" Target="https://doi.org/10.1086/726748" TargetMode="External" /><Relationship Type="http://schemas.openxmlformats.org/officeDocument/2006/relationships/hyperlink" Id="rId156" Target="https://doi.org/10.1093/biomet/34.1-2.28" TargetMode="External" /><Relationship Type="http://schemas.openxmlformats.org/officeDocument/2006/relationships/hyperlink" Id="rId154" Target="https://doi.org/10.1093/biomet/70.1.41" TargetMode="External" /><Relationship Type="http://schemas.openxmlformats.org/officeDocument/2006/relationships/hyperlink" Id="rId140" Target="https://doi.org/10.1093/biomet/80.1.27" TargetMode="External" /><Relationship Type="http://schemas.openxmlformats.org/officeDocument/2006/relationships/hyperlink" Id="rId95" Target="https://doi.org/10.1093/haschl/qxad093" TargetMode="External" /><Relationship Type="http://schemas.openxmlformats.org/officeDocument/2006/relationships/hyperlink" Id="rId152" Target="https://doi.org/10.1093/restud/rdad018" TargetMode="External" /><Relationship Type="http://schemas.openxmlformats.org/officeDocument/2006/relationships/hyperlink" Id="rId73" Target="https://doi.org/10.1111/1468-0009.12468" TargetMode="External" /><Relationship Type="http://schemas.openxmlformats.org/officeDocument/2006/relationships/hyperlink" Id="rId91" Target="https://doi.org/10.1111/jrh.12672" TargetMode="External" /><Relationship Type="http://schemas.openxmlformats.org/officeDocument/2006/relationships/hyperlink" Id="rId164" Target="https://doi.org/10.1145/3299869.3320212" TargetMode="External" /><Relationship Type="http://schemas.openxmlformats.org/officeDocument/2006/relationships/hyperlink" Id="rId174" Target="https://doi.org/10.1177/1745691614551642" TargetMode="External" /><Relationship Type="http://schemas.openxmlformats.org/officeDocument/2006/relationships/hyperlink" Id="rId150" Target="https://doi.org/10.1177/1948550617697177" TargetMode="External" /><Relationship Type="http://schemas.openxmlformats.org/officeDocument/2006/relationships/hyperlink" Id="rId144" Target="https://doi.org/10.1214/08-aoas191" TargetMode="External" /><Relationship Type="http://schemas.openxmlformats.org/officeDocument/2006/relationships/hyperlink" Id="rId138" Target="https://doi.org/10.1214/20-ba1221" TargetMode="External" /><Relationship Type="http://schemas.openxmlformats.org/officeDocument/2006/relationships/hyperlink" Id="rId128" Target="https://doi.org/10.1214/aos/1176345338" TargetMode="External" /><Relationship Type="http://schemas.openxmlformats.org/officeDocument/2006/relationships/hyperlink" Id="rId148" Target="https://doi.org/10.1257/aeri.20210236" TargetMode="External" /><Relationship Type="http://schemas.openxmlformats.org/officeDocument/2006/relationships/hyperlink" Id="rId110" Target="https://doi.org/10.1371/journal.pmed.0040296" TargetMode="External" /><Relationship Type="http://schemas.openxmlformats.org/officeDocument/2006/relationships/hyperlink" Id="rId79" Target="https://doi.org/10.1377/hlthaff.2014.0444" TargetMode="External" /><Relationship Type="http://schemas.openxmlformats.org/officeDocument/2006/relationships/hyperlink" Id="rId81" Target="https://doi.org/10.1377/hlthaff.2015.1026" TargetMode="External" /><Relationship Type="http://schemas.openxmlformats.org/officeDocument/2006/relationships/hyperlink" Id="rId89" Target="https://doi.org/10.1377/hlthaff.2018.05097" TargetMode="External" /><Relationship Type="http://schemas.openxmlformats.org/officeDocument/2006/relationships/hyperlink" Id="rId77" Target="https://doi.org/10.1377/hlthaff.2018.05407" TargetMode="External" /><Relationship Type="http://schemas.openxmlformats.org/officeDocument/2006/relationships/hyperlink" Id="rId99" Target="https://doi.org/10.1377/hlthaff.2020.01819" TargetMode="External" /><Relationship Type="http://schemas.openxmlformats.org/officeDocument/2006/relationships/hyperlink" Id="rId83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0" Target="https://doi.org/10.17605/OSF.IO/Z4AN5" TargetMode="External" /><Relationship Type="http://schemas.openxmlformats.org/officeDocument/2006/relationships/hyperlink" Id="rId168" Target="https://doi.org/10.21105/joss.01143" TargetMode="External" /><Relationship Type="http://schemas.openxmlformats.org/officeDocument/2006/relationships/hyperlink" Id="rId130" Target="https://doi.org/10.2202/1544-6115.1585" TargetMode="External" /><Relationship Type="http://schemas.openxmlformats.org/officeDocument/2006/relationships/hyperlink" Id="rId160" Target="https://doi.org/10.25080/majora-92bf1922-011" TargetMode="External" /><Relationship Type="http://schemas.openxmlformats.org/officeDocument/2006/relationships/hyperlink" Id="rId75" Target="https://doi.org/10.7326/m18-2539" TargetMode="External" /><Relationship Type="http://schemas.openxmlformats.org/officeDocument/2006/relationships/hyperlink" Id="rId132" Target="https://doi.org/10.7717/peerj-cs.1516" TargetMode="External" /><Relationship Type="http://schemas.openxmlformats.org/officeDocument/2006/relationships/hyperlink" Id="rId107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66" Target="https://github.com/astral-sh/uv" TargetMode="External" /><Relationship Type="http://schemas.openxmlformats.org/officeDocument/2006/relationships/hyperlink" Id="rId162" Target="https://github.com/dbt-labs/dbt-core" TargetMode="External" /><Relationship Type="http://schemas.openxmlformats.org/officeDocument/2006/relationships/hyperlink" Id="rId142" Target="https://github.com/jzluo/firthmodels" TargetMode="External" /><Relationship Type="http://schemas.openxmlformats.org/officeDocument/2006/relationships/hyperlink" Id="rId180" Target="https://github.com/stharrold/mssp-paper-2026" TargetMode="External" /><Relationship Type="http://schemas.openxmlformats.org/officeDocument/2006/relationships/hyperlink" Id="rId112" Target="https://github.com/stharrold/stharrold.github.io/tree/a4064f592a492d971ce3c27e95afb3050e6bc01d/analysis/mssp-benchmark-ratchet" TargetMode="External" /><Relationship Type="http://schemas.openxmlformats.org/officeDocument/2006/relationships/hyperlink" Id="rId134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82" Target="https://stharrold.github.io/20261027-preregistered-mssp-early-renewal.html" TargetMode="External" /><Relationship Type="http://schemas.openxmlformats.org/officeDocument/2006/relationships/hyperlink" Id="rId122" Target="https://web.archive.org/web/20250516214605/https://www.hhs.gov/guidance/document/cms-cell-suppression-policy" TargetMode="External" /><Relationship Type="http://schemas.openxmlformats.org/officeDocument/2006/relationships/hyperlink" Id="rId178" Target="https://www.aha.org/lettercomment/2021-10-14-aha-others-cms-re-request-provide-mssp-acos-option-use-pre-pandemic-years" TargetMode="External" /><Relationship Type="http://schemas.openxmlformats.org/officeDocument/2006/relationships/hyperlink" Id="rId124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26" Target="https://www.ecfr.gov/on/2022-01-01/title-42/chapter-IV/subchapter-B/part-425/subpart-G/section-425.600#p-425.600%28d%29" TargetMode="External" /><Relationship Type="http://schemas.openxmlformats.org/officeDocument/2006/relationships/hyperlink" Id="rId65" Target="https://www.ecfr.gov/on/2022-01-01/title-42/chapter-IV/subchapter-B/part-425/subpart-G/section-425.601" TargetMode="External" /><Relationship Type="http://schemas.openxmlformats.org/officeDocument/2006/relationships/hyperlink" Id="rId176" Target="https://www.ecfr.gov/on/2024-01-01/title-42/chapter-IV/subchapter-B/part-425/subpart-G/section-425.652" TargetMode="External" /><Relationship Type="http://schemas.openxmlformats.org/officeDocument/2006/relationships/hyperlink" Id="rId172" Target="https://www.ecfr.gov/on/2026-10-01/title-45/subtitle-A/subchapter-A/part-46/subpart-A/section-46.102#p-46.102%28e%29%281%29" TargetMode="External" /><Relationship Type="http://schemas.openxmlformats.org/officeDocument/2006/relationships/hyperlink" Id="rId101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5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2026-10-28T13:10:39Z</dcterms:created>
  <dcterms:modified xsi:type="dcterms:W3CDTF">2026-10-28T13:10:39Z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