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Original Paper</w:t>
      </w:r>
    </w:p>
    <w:p>
      <w:pPr>
        <w:pStyle w:val="BodyText"/>
      </w:pPr>
      <w:r>
        <w:t xml:space="preserve">Samuel Thomas Harrold, 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Corresponding Author: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Medicare Shared Savings Program (MSSP) benchmarks are reset at each new agreement from an accountable</w:t>
      </w:r>
      <w:r>
        <w:t xml:space="preserve"> </w:t>
      </w:r>
      <w:r>
        <w:t xml:space="preserve">care organization’s (ACO’s) recent spending, adjusted toward its region. ACOs could end an agreement early to reset</w:t>
      </w:r>
      <w:r>
        <w:t xml:space="preserve"> </w:t>
      </w:r>
      <w:r>
        <w:t xml:space="preserve">sooner; which ACOs did so has not been studied in the peer-reviewed literature.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aimed to test whether ACOs that renewed early stood to gain more from the regional part of a</w:t>
      </w:r>
      <w:r>
        <w:t xml:space="preserve"> </w:t>
      </w:r>
      <w:r>
        <w:t xml:space="preserve">reset, and whether their spending growth differed afterward.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This preregistered retrospective cohort study included the 334 MSSP ACOs whose agreements began July 1,</w:t>
      </w:r>
      <w:r>
        <w:t xml:space="preserve"> </w:t>
      </w:r>
      <w:r>
        <w:t xml:space="preserve">2019 or January 1, 2020, using Centers for Medicare &amp; Medicaid Services (CMS) public use files (2016-2024). Plan,</w:t>
      </w:r>
      <w:r>
        <w:t xml:space="preserve"> </w:t>
      </w:r>
      <w:r>
        <w:t xml:space="preserve">decision rules and code were registered before any outcome data were read. The reset benchmark was rebuilt from 42</w:t>
      </w:r>
      <w:r>
        <w:t xml:space="preserve"> </w:t>
      </w:r>
      <w:r>
        <w:t xml:space="preserve">CFR 425.601 and validated against CMS’s published benchmarks for 101 other ACOs before use. For early renewal into a</w:t>
      </w:r>
      <w:r>
        <w:t xml:space="preserve"> </w:t>
      </w:r>
      <w:r>
        <w:t xml:space="preserve">January 1, 2022 agreement (29 ACOs vs 277 that stayed), the primary measure was the regional pull (case-mix-adjusted</w:t>
      </w:r>
      <w:r>
        <w:t xml:space="preserve"> </w:t>
      </w:r>
      <w:r>
        <w:t xml:space="preserve">regional spending relative to the current benchmark); the own-spending component of a reset and the BASIC risk level</w:t>
      </w:r>
      <w:r>
        <w:t xml:space="preserve"> </w:t>
      </w:r>
      <w:r>
        <w:t xml:space="preserve">were also examined. Groups were compared by Bayesian bootstrap and permutation tests, and early renewal was modeled by</w:t>
      </w:r>
      <w:r>
        <w:t xml:space="preserve"> </w:t>
      </w:r>
      <w:r>
        <w:t xml:space="preserve">Bayesian logistic regression with measurement error, tested by direct simulation. Per-capita spending growth in</w:t>
      </w:r>
      <w:r>
        <w:t xml:space="preserve"> </w:t>
      </w:r>
      <w:r>
        <w:t xml:space="preserve">2022-2024 was compared by difference-in-differences with a preregistered equivalence condition on pre-trends.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 ρ = 0.94). Relative to their current benchmarks,</w:t>
      </w:r>
      <w:r>
        <w:t xml:space="preserve"> </w:t>
      </w:r>
      <w:r>
        <w:t xml:space="preserve">early renewers’ regional spending was 3.4 percentage points higher than stayers’ (95% credible interval [CrI], 1.7</w:t>
      </w:r>
      <w:r>
        <w:t xml:space="preserve"> </w:t>
      </w:r>
      <w:r>
        <w:t xml:space="preserve">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but they were also beating their benchmarks by more (own-spending component, −2.1 points; 95%</w:t>
      </w:r>
      <w:r>
        <w:t xml:space="preserve"> </w:t>
      </w:r>
      <w:r>
        <w:t xml:space="preserve">CrI, −3.8 to −0.5), and the total expected gain did not differ (−0.5 points; 95% CrI, −2.0 to 0.8). Post hoc, CMS’s</w:t>
      </w:r>
      <w:r>
        <w:t xml:space="preserve"> </w:t>
      </w:r>
      <w:r>
        <w:t xml:space="preserve">published 2022 benchmarks for early renewers averaged 1.3% below their 2021 benchmarks. Among 206 BASIC-track ACOs,</w:t>
      </w:r>
      <w:r>
        <w:t xml:space="preserve"> </w:t>
      </w:r>
      <w:r>
        <w:t xml:space="preserve">early renewal was associated with a higher regional pull (log-odds difference per 2 SD, 1.34; 95% CrI, 0.44 to 2.30)</w:t>
      </w:r>
      <w:r>
        <w:t xml:space="preserve"> </w:t>
      </w:r>
      <w:r>
        <w:t xml:space="preserve">and a higher, two-sided BASIC level (1.34; 95% CrI, 0.38 to 2.31). Spending growth did not differ detectably</w:t>
      </w:r>
      <w:r>
        <w:t xml:space="preserve"> </w:t>
      </w:r>
      <w:r>
        <w:t xml:space="preserve">(−0.4%; 95% CrI, −4.0% to 2.5%); the equivalence condition did not hold, so this is not read as an effect.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ACOs that renewed early more often had regions that spent more relative to their</w:t>
      </w:r>
      <w:r>
        <w:t xml:space="preserve"> </w:t>
      </w:r>
      <w:r>
        <w:t xml:space="preserve">benchmarks and were more often at higher BASIC levels, for which renewal opened a 75% sharing rate; the reset did</w:t>
      </w:r>
      <w:r>
        <w:t xml:space="preserve"> </w:t>
      </w:r>
      <w:r>
        <w:t xml:space="preserve">not on average raise their benchmarks. These are associations under the 2022 rules; benchmarks set from 2024 credit prior savings. These findings extend</w:t>
      </w:r>
      <w:r>
        <w:t xml:space="preserve"> </w:t>
      </w:r>
      <w:r>
        <w:t xml:space="preserve">evidence that benchmark rules sort ACOs to the timing of resets.</w:t>
      </w:r>
    </w:p>
    <w:p>
      <w:pPr>
        <w:pStyle w:val="BodyText"/>
      </w:pPr>
      <w:r>
        <w:rPr>
          <w:b/>
          <w:bCs/>
        </w:rPr>
        <w:t xml:space="preserve">Trial Registration:</w:t>
      </w:r>
      <w:r>
        <w:t xml:space="preserve"> </w:t>
      </w:r>
      <w:r>
        <w:t xml:space="preserve">OSF Registries osf.io/c53w9; https://osf.io/c53w9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At 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3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8</w:t>
        </w:r>
      </w:hyperlink>
      <w:r>
        <w:t xml:space="preserve">]</w:t>
      </w:r>
    </w:p>
    <w:p>
      <w:pPr>
        <w:pStyle w:val="BodyText"/>
      </w:pPr>
      <w:r>
        <w:t xml:space="preserve">Benchmarks are central to that selection. Rebasing to an ACO’s own recent spending weakens its incentive to save,</w:t>
      </w:r>
      <w:r>
        <w:t xml:space="preserve"> </w:t>
      </w:r>
      <w:r>
        <w:t xml:space="preserve">and under earlier weights it rewarded higher spending just before a new agreement.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ACOs’ spending</w:t>
      </w:r>
      <w:r>
        <w:t xml:space="preserve"> </w:t>
      </w:r>
      <w:r>
        <w:t xml:space="preserve">varies widely relative to their regions even after risk adjustment, so moving benchmarks toward regional averages</w:t>
      </w:r>
      <w:r>
        <w:t xml:space="preserve"> </w:t>
      </w:r>
      <w:r>
        <w:t xml:space="preserve">shifts them unevenly.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A structural analysis of the program found evidence of both forces: savings rates</w:t>
      </w:r>
      <w:r>
        <w:t xml:space="preserve"> </w:t>
      </w:r>
      <w:r>
        <w:t xml:space="preserve">were higher in years whose spending did not enter a future benchmark, and ACOs with a positive regional adjustment</w:t>
      </w:r>
      <w:r>
        <w:t xml:space="preserve"> </w:t>
      </w:r>
      <w:r>
        <w:t xml:space="preserve">were less likely to exit.</w:t>
      </w:r>
      <w:r>
        <w:t xml:space="preserve">[</w:t>
      </w:r>
      <w:hyperlink w:anchor="ref-cappello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This literature describes how benchmark</w:t>
      </w:r>
      <w:r>
        <w:t xml:space="preserve"> </w:t>
      </w:r>
      <w:r>
        <w:t xml:space="preserve">rules sort ACOs into joining, staying, leaving and taking on risk, and how rebasing weakens the incentive to save</w:t>
      </w:r>
      <w:r>
        <w:t xml:space="preserve"> </w:t>
      </w:r>
      <w:r>
        <w:t xml:space="preserve">within an agreement; it has not examined when ACOs choose to reset.</w:t>
      </w:r>
    </w:p>
    <w:p>
      <w:pPr>
        <w:pStyle w:val="BodyText"/>
      </w:pPr>
      <w:r>
        <w:t xml:space="preserve">The same rules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period;</w:t>
      </w:r>
      <w:r>
        <w:t xml:space="preserve">[</w:t>
      </w:r>
      <w:hyperlink w:anchor="ref-frpathways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An industry</w:t>
      </w:r>
      <w:r>
        <w:t xml:space="preserve"> </w:t>
      </w:r>
      <w:r>
        <w:t xml:space="preserve">report found that ACOs rebasing early in 2022 had higher gross savings rates beforehand than ACOs that did not, and</w:t>
      </w:r>
      <w:r>
        <w:t xml:space="preserve"> </w:t>
      </w:r>
      <w:r>
        <w:t xml:space="preserve">that the earlier incumbents among them moved from BASIC to ENHANCED,</w:t>
      </w:r>
      <w:r>
        <w:t xml:space="preserve">[</w:t>
      </w:r>
      <w:hyperlink w:anchor="ref-milliman2024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and consulting analyses model the</w:t>
      </w:r>
      <w:r>
        <w:t xml:space="preserve"> </w:t>
      </w:r>
      <w:r>
        <w:t xml:space="preserve">choice for individual ACOs.</w:t>
      </w:r>
      <w:r>
        <w:t xml:space="preserve">[</w:t>
      </w:r>
      <w:hyperlink w:anchor="ref-milliman2025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These sources describe the early renewers but do not test why they</w:t>
      </w:r>
      <w:r>
        <w:t xml:space="preserve"> </w:t>
      </w:r>
      <w:r>
        <w:t xml:space="preserve">renewed. Early renewal joins the two strands above: it is a choice of when rebasing happens, made under rules that</w:t>
      </w:r>
      <w:r>
        <w:t xml:space="preserve"> </w:t>
      </w:r>
      <w:r>
        <w:t xml:space="preserve">reward ACOs whose regions spend more. To the author’s knowledge, which ACOs used the option has not been studied in</w:t>
      </w:r>
      <w:r>
        <w:t xml:space="preserve"> </w:t>
      </w:r>
      <w:r>
        <w:t xml:space="preserve">the peer-reviewed literature.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i/>
          <w:i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i/>
          <w:iCs/>
        </w:rPr>
        <w:t xml:space="preserve">sharing-rate motive</w:t>
      </w:r>
      <w:r>
        <w:t xml:space="preserve">, a BASIC-track ACO renews to reach ENHANCED. The savings rate cannot separate</w:t>
      </w:r>
      <w:r>
        <w:t xml:space="preserve"> </w:t>
      </w:r>
      <w:r>
        <w:t xml:space="preserve">them: an ACO beating its benchmark would lose on the own-spending part of a reset, yet may gain on the regional part</w:t>
      </w:r>
      <w:r>
        <w:t xml:space="preserve"> </w:t>
      </w:r>
      <w:r>
        <w:t xml:space="preserve">if its region spends more. This study therefore took as its primary test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 a measure of how</w:t>
      </w:r>
      <w:r>
        <w:t xml:space="preserve"> </w:t>
      </w:r>
      <w:r>
        <w:t xml:space="preserve">far an ACO’s case-mix-adjusted regional spending sat above its current benchmark, which contains no term for the</w:t>
      </w:r>
      <w:r>
        <w:t xml:space="preserve"> </w:t>
      </w:r>
      <w:r>
        <w:t xml:space="preserve">ACO’s own benchmark-year spending. It asked whether early renewers stood to gain more from the regional part of a</w:t>
      </w:r>
      <w:r>
        <w:t xml:space="preserve"> </w:t>
      </w:r>
      <w:r>
        <w:t xml:space="preserve">reset than ACOs that stayed, which characteristics were associated with early renewal, and whether early renewers’</w:t>
      </w:r>
      <w:r>
        <w:t xml:space="preserve"> </w:t>
      </w:r>
      <w:r>
        <w:t xml:space="preserve">spending growth differed afterward. The analysis plan, hypotheses, decision rules and code were registered before</w:t>
      </w:r>
      <w:r>
        <w:t xml:space="preserve"> </w:t>
      </w:r>
      <w:r>
        <w:t xml:space="preserve">any outcome value was read.</w:t>
      </w:r>
      <w:r>
        <w:t xml:space="preserve">[</w:t>
      </w:r>
      <w:hyperlink w:anchor="ref-registration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Associations with pre-decision characteristics bear on the motives but</w:t>
      </w:r>
      <w:r>
        <w:t xml:space="preserve"> </w:t>
      </w:r>
      <w:r>
        <w:t xml:space="preserve">cannot establish them, and no test here can separate the two motives.</w:t>
      </w:r>
    </w:p>
    <w:bookmarkEnd w:id="13"/>
    <w:bookmarkStart w:id="33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(checklist in Multimedia Appendix 2). The analysis plan and the code commit that implements it were registered on OSF (Open Science Framework)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25</w:t>
        </w:r>
      </w:hyperlink>
      <w:r>
        <w:t xml:space="preserve">,</w:t>
      </w:r>
      <w:hyperlink w:anchor="ref-code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Centers for Medicare &amp; Medicaid Services (CMS) data dictionaries, the regulation text and the column names (not the values) of the outcome files</w:t>
      </w:r>
      <w:r>
        <w:t xml:space="preserve"> </w:t>
      </w:r>
      <w:r>
        <w:t xml:space="preserve">were used. The enrollment files include each ACO’s track and BASIC level, so the H3 prediction for the BASIC level</w:t>
      </w:r>
      <w:r>
        <w:t xml:space="preserve"> </w:t>
      </w:r>
      <w:r>
        <w:t xml:space="preserve">was made with those data available: it is preregistered but not blind to them. No savings rate, spending value,</w:t>
      </w:r>
      <w:r>
        <w:t xml:space="preserve"> </w:t>
      </w:r>
      <w:r>
        <w:t xml:space="preserve">benchmark or constructed variable was seen. The registry’s own timestamp, rather than the repository’s commit dates,</w:t>
      </w:r>
      <w:r>
        <w:t xml:space="preserve"> </w:t>
      </w:r>
      <w:r>
        <w:t xml:space="preserve">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22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28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32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i/>
          <w:iCs/>
        </w:rPr>
        <w:t xml:space="preserve">stayers</w:t>
      </w:r>
      <w:r>
        <w:t xml:space="preserve"> </w:t>
      </w:r>
      <w:r>
        <w:t xml:space="preserve">(277 ACOs), those in the same agreement in PY2022; 42 stayers later renewed early into</w:t>
      </w:r>
      <w:r>
        <w:t xml:space="preserve"> </w:t>
      </w:r>
      <w:r>
        <w:t xml:space="preserve">2023 or 2024 agreements, so the comparison concerns the 2022 decision. The 28 ACOs absent from the PY2022 file (left</w:t>
      </w:r>
      <w:r>
        <w:t xml:space="preserve"> </w:t>
      </w:r>
      <w:r>
        <w:t xml:space="preserve">after PY2021) were described but entered no registered test (Figure 1). Of the 356 ACOs from these cohorts in the</w:t>
      </w:r>
      <w:r>
        <w:t xml:space="preserve"> </w:t>
      </w:r>
      <w:r>
        <w:t xml:space="preserve">PY2020 enrollment file, 22 were absent from the PY2021 file, and none had renewed into a 2021 agreement.</w:t>
      </w:r>
    </w:p>
    <w:bookmarkEnd w:id="16"/>
    <w:bookmarkStart w:id="21" w:name="variables"/>
    <w:p>
      <w:pPr>
        <w:pStyle w:val="Heading2"/>
      </w:pPr>
      <w:r>
        <w:t xml:space="preserve">Variables</w:t>
      </w:r>
    </w:p>
    <w:bookmarkStart w:id="17" w:name="expected-gain-from-a-reset"/>
    <w:p>
      <w:pPr>
        <w:pStyle w:val="Heading3"/>
      </w:pPr>
      <w:r>
        <w:t xml:space="preserve">Expected Gain From a Reset</w:t>
      </w:r>
    </w:p>
    <w:p>
      <w:pPr>
        <w:pStyle w:val="FirstParagraph"/>
      </w:pP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 100 × (new − 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i/>
          <w:i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i/>
          <w:i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e</w:t>
      </w:r>
      <w:r>
        <w:t xml:space="preserve"> </w:t>
      </w:r>
      <w:r>
        <w:t xml:space="preserve">is the case-mix-adjusted regional spending for enrollment type</w:t>
      </w:r>
      <w:r>
        <w:t xml:space="preserve"> </w:t>
      </w:r>
      <w:r>
        <w:rPr>
          <w:i/>
          <w:iCs/>
        </w:rPr>
        <w:t xml:space="preserve">e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vertAlign w:val="subscript"/>
        </w:rPr>
        <w:t xml:space="preserve">e</w:t>
      </w:r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bookmarkEnd w:id="17"/>
    <w:bookmarkStart w:id="18" w:name="validation-before-use"/>
    <w:p>
      <w:pPr>
        <w:pStyle w:val="Heading3"/>
      </w:pPr>
      <w:r>
        <w:t xml:space="preserve">Validation Before Use</w:t>
      </w:r>
    </w:p>
    <w:p>
      <w:pPr>
        <w:pStyle w:val="FirstParagraph"/>
      </w:pP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bookmarkEnd w:id="18"/>
    <w:bookmarkStart w:id="19" w:name="other-variables"/>
    <w:p>
      <w:pPr>
        <w:pStyle w:val="Heading3"/>
      </w:pPr>
      <w:r>
        <w:t xml:space="preserve">Other Variables</w:t>
      </w:r>
    </w:p>
    <w:p>
      <w:pPr>
        <w:pStyle w:val="FirstParagraph"/>
      </w:pP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 advance faster, and could pause the advance for 2021; ACOs experienced with performance-based risk could enter</w:t>
      </w:r>
      <w:r>
        <w:t xml:space="preserve"> </w:t>
      </w:r>
      <w:r>
        <w:t xml:space="preserve">only Level E or ENHANCED.</w:t>
      </w:r>
      <w:r>
        <w:t xml:space="preserve">[</w:t>
      </w:r>
      <w:hyperlink w:anchor="ref-cfr425600">
        <w:r>
          <w:rPr>
            <w:rStyle w:val="Hyperlink"/>
          </w:rPr>
          <w:t xml:space="preserve">34</w:t>
        </w:r>
      </w:hyperlink>
      <w:r>
        <w:t xml:space="preserve">]</w:t>
      </w:r>
    </w:p>
    <w:bookmarkEnd w:id="19"/>
    <w:bookmarkStart w:id="20" w:name="suppressed-values"/>
    <w:p>
      <w:pPr>
        <w:pStyle w:val="Heading3"/>
      </w:pPr>
      <w:r>
        <w:t xml:space="preserve">Suppressed Values</w:t>
      </w:r>
    </w:p>
    <w:p>
      <w:pPr>
        <w:pStyle w:val="FirstParagraph"/>
      </w:pP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20"/>
    <w:bookmarkEnd w:id="21"/>
    <w:bookmarkStart w:id="22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i/>
          <w:i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i/>
          <w:iCs/>
        </w:rPr>
        <w:t xml:space="preserve">H2a</w:t>
      </w:r>
      <w:r>
        <w:rPr>
          <w:i/>
          <w:iCs/>
        </w:rPr>
        <w:t xml:space="preserve"> </w:t>
      </w:r>
      <w:r>
        <w:rPr>
          <w:i/>
          <w:i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i/>
          <w:iCs/>
        </w:rPr>
        <w:t xml:space="preserve">H1</w:t>
      </w:r>
      <w:r>
        <w:rPr>
          <w:i/>
          <w:iCs/>
        </w:rPr>
        <w:t xml:space="preserve"> </w:t>
      </w:r>
      <w:r>
        <w:rPr>
          <w:i/>
          <w:i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i/>
          <w:i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i/>
          <w:i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22"/>
    <w:bookmarkStart w:id="30" w:name="statistical-analysis"/>
    <w:p>
      <w:pPr>
        <w:pStyle w:val="Heading2"/>
      </w:pPr>
      <w:r>
        <w:t xml:space="preserve">Statistical Analysis</w:t>
      </w:r>
    </w:p>
    <w:bookmarkStart w:id="23" w:name="group-comparisons-h1-h2a-h2b"/>
    <w:p>
      <w:pPr>
        <w:pStyle w:val="Heading3"/>
      </w:pPr>
      <w:r>
        <w:t xml:space="preserve">Group Comparisons (H1, H2a, H2b)</w:t>
      </w:r>
    </w:p>
    <w:p>
      <w:pPr>
        <w:pStyle w:val="FirstParagraph"/>
      </w:pP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bookmarkEnd w:id="23"/>
    <w:bookmarkStart w:id="24" w:name="decision-model-h3"/>
    <w:p>
      <w:pPr>
        <w:pStyle w:val="Heading3"/>
      </w:pPr>
      <w:r>
        <w:t xml:space="preserve">Decision Model (H3)</w:t>
      </w:r>
    </w:p>
    <w:p>
      <w:pPr>
        <w:pStyle w:val="FirstParagraph"/>
      </w:pP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41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bookmarkEnd w:id="24"/>
    <w:bookmarkStart w:id="25" w:name="spending-after-renewal-h4"/>
    <w:p>
      <w:pPr>
        <w:pStyle w:val="Heading3"/>
      </w:pPr>
      <w:r>
        <w:t xml:space="preserve">Spending After Renewal (H4)</w:t>
      </w:r>
    </w:p>
    <w:p>
      <w:pPr>
        <w:pStyle w:val="FirstParagraph"/>
      </w:pPr>
      <w:r>
        <w:t xml:space="preserve">For each ACO, Δ 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 Δ,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bookmarkEnd w:id="25"/>
    <w:bookmarkStart w:id="26" w:name="power"/>
    <w:p>
      <w:pPr>
        <w:pStyle w:val="Heading3"/>
      </w:pPr>
      <w:r>
        <w:t xml:space="preserve">Power</w:t>
      </w:r>
    </w:p>
    <w:p>
      <w:pPr>
        <w:pStyle w:val="FirstParagraph"/>
      </w:pPr>
      <w:r>
        <w:t xml:space="preserve">Minimum detectable effects (MDEs) at 80% power and 2-sided α 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bookmarkEnd w:id="26"/>
    <w:bookmarkStart w:id="27" w:name="decision-rules"/>
    <w:p>
      <w:pPr>
        <w:pStyle w:val="Heading3"/>
      </w:pPr>
      <w:r>
        <w:t xml:space="preserve">Decision Rules</w:t>
      </w:r>
    </w:p>
    <w:p>
      <w:pPr>
        <w:pStyle w:val="FirstParagraph"/>
      </w:pP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bookmarkEnd w:id="27"/>
    <w:bookmarkStart w:id="28" w:name="X3d1e5499a32e15aaf406abcc81d44387481ecc1"/>
    <w:p>
      <w:pPr>
        <w:pStyle w:val="Heading3"/>
      </w:pPr>
      <w:r>
        <w:t xml:space="preserve">Covariate-Adjusted Estimates, Conventional Methods, and Robustness</w:t>
      </w:r>
    </w:p>
    <w:p>
      <w:pPr>
        <w:pStyle w:val="FirstParagraph"/>
      </w:pP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Markov chain Monte Carlo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55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56</w:t>
        </w:r>
      </w:hyperlink>
      <w:r>
        <w:t xml:space="preserve">]</w:t>
      </w:r>
    </w:p>
    <w:bookmarkEnd w:id="28"/>
    <w:bookmarkStart w:id="29" w:name="deviations"/>
    <w:p>
      <w:pPr>
        <w:pStyle w:val="Heading3"/>
      </w:pPr>
      <w:r>
        <w:t xml:space="preserve">Deviations</w:t>
      </w:r>
    </w:p>
    <w:p>
      <w:pPr>
        <w:pStyle w:val="FirstParagraph"/>
      </w:pP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29"/>
    <w:bookmarkEnd w:id="30"/>
    <w:bookmarkStart w:id="31" w:name="post-hoc-checks-not-registered"/>
    <w:p>
      <w:pPr>
        <w:pStyle w:val="Heading2"/>
      </w:pPr>
      <w:r>
        <w:t xml:space="preserve">Post Hoc Checks (Not Registered)</w:t>
      </w:r>
    </w:p>
    <w:p>
      <w:pPr>
        <w:pStyle w:val="FirstParagraph"/>
      </w:pPr>
      <w:r>
        <w:t xml:space="preserve">After all registered results had been read, and in response to critical review of the draft, two checks of the</w:t>
      </w:r>
      <w:r>
        <w:t xml:space="preserve"> </w:t>
      </w:r>
      <w:r>
        <w:t xml:space="preserve">expected gain were added (eTable 12 in Multimedia Appendix 1). They reuse the registered pipeline’s tables and estimator,</w:t>
      </w:r>
      <w:r>
        <w:t xml:space="preserve"> </w:t>
      </w:r>
      <w:r>
        <w:t xml:space="preserve">change no registered file, and decide nothing. First, the validation was repeated on the change scale, the rebuilt</w:t>
      </w:r>
      <w:r>
        <w:t xml:space="preserve"> </w:t>
      </w:r>
      <w:r>
        <w:t xml:space="preserve">against the actual change from the PY2021 benchmark, for the same 101 regular renewers. Second, early renewers’</w:t>
      </w:r>
      <w:r>
        <w:t xml:space="preserve"> </w:t>
      </w:r>
      <w:r>
        <w:t xml:space="preserve">realized reset, their 2022 historical benchmark as CMS published it relative to their PY2021 benchmark, was compared</w:t>
      </w:r>
      <w:r>
        <w:t xml:space="preserve"> </w:t>
      </w:r>
      <w:r>
        <w:t xml:space="preserve">with the rebuilt gain, and their PY2021-to-PY2022 change in updated benchmark was compared with stayers’ with the</w:t>
      </w:r>
      <w:r>
        <w:t xml:space="preserve"> </w:t>
      </w:r>
      <w:r>
        <w:t xml:space="preserve">group-comparison estimator above.</w:t>
      </w:r>
    </w:p>
    <w:bookmarkEnd w:id="31"/>
    <w:bookmarkStart w:id="32" w:name="ethical-considerations"/>
    <w:p>
      <w:pPr>
        <w:pStyle w:val="Heading2"/>
      </w:pPr>
      <w:r>
        <w:t xml:space="preserve">Ethical Considerations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intervention or interaction with individuals and no identifiable private information, so it was not human subjects</w:t>
      </w:r>
      <w:r>
        <w:t xml:space="preserve"> </w:t>
      </w:r>
      <w:r>
        <w:t xml:space="preserve">research as defined by the US Federal Policy for the Protection of Human Subjects (45 CFR 46.102(e)(1)).</w:t>
      </w:r>
      <w:r>
        <w:t xml:space="preserve">[</w:t>
      </w:r>
      <w:hyperlink w:anchor="ref-cfr46102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 </w:t>
      </w:r>
      <w:r>
        <w:t xml:space="preserve">Ethics review was therefore not sought, and informed consent, privacy protections for participants and compensation</w:t>
      </w:r>
      <w:r>
        <w:t xml:space="preserve"> </w:t>
      </w:r>
      <w:r>
        <w:t xml:space="preserve">did not apply.</w:t>
      </w:r>
    </w:p>
    <w:bookmarkEnd w:id="32"/>
    <w:bookmarkEnd w:id="33"/>
    <w:bookmarkStart w:id="51" w:name="results"/>
    <w:p>
      <w:pPr>
        <w:pStyle w:val="Heading1"/>
      </w:pPr>
      <w:r>
        <w:t xml:space="preserve">Results</w:t>
      </w:r>
    </w:p>
    <w:bookmarkStart w:id="37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Multimedia Appendix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sample; a scale estimate from the median error (1.4826 × 1.4 ≈ 2.1) would be below the stayers’ SD.</w:t>
      </w:r>
      <w:r>
        <w:t xml:space="preserve"> </w:t>
      </w:r>
      <w:r>
        <w:t xml:space="preserve">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agreements; stayers could not, because the rules bar that move within an agreement period.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35" name="Picture"/>
            <a:graphic>
              <a:graphicData uri="http://schemas.openxmlformats.org/drawingml/2006/picture">
                <pic:pic>
                  <pic:nvPicPr>
                    <pic:cNvPr descr="figures/figure1-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37"/>
    <w:bookmarkStart w:id="41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supported:</w:t>
      </w:r>
      <w:r>
        <w:t xml:space="preserve"> </w:t>
      </w:r>
      <w:r>
        <w:t xml:space="preserve">early renewers’ regions spent more relative to their current benchmarks, evidence for the reset motive beyond past savings. The decomposition qualifies that reading. Weighted by the phase-in</w:t>
      </w:r>
      <w:r>
        <w:t xml:space="preserve"> </w:t>
      </w:r>
      <w:r>
        <w:t xml:space="preserve">weight, the pull difference was 1.6 points (eTable 9), and the regional component differed by the same 1.6 points</w:t>
      </w:r>
      <w:r>
        <w:t xml:space="preserve"> </w:t>
      </w:r>
      <w:r>
        <w:t xml:space="preserve">partly because a lower own-spending component also raises it; the total expected gain did not differ. The pull</w:t>
      </w:r>
      <w:r>
        <w:t xml:space="preserve"> </w:t>
      </w:r>
      <w:r>
        <w:t xml:space="preserve">difference therefore indicates that early renewers were low-cost relative to their regions more than that they stood</w:t>
      </w:r>
      <w:r>
        <w:t xml:space="preserve"> </w:t>
      </w:r>
      <w:r>
        <w:t xml:space="preserve">to gain a higher benchmark.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=.003):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two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=.33).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 Post hoc, CMS’s published 2022 benchmarks bear this out for early renewers: their</w:t>
      </w:r>
      <w:r>
        <w:t xml:space="preserve"> </w:t>
      </w:r>
      <w:r>
        <w:t xml:space="preserve">reset historical benchmarks averaged 1.3% below their PY2021 benchmarks (median −1.5%; 66% of the 29 were lower), the</w:t>
      </w:r>
      <w:r>
        <w:t xml:space="preserve"> </w:t>
      </w:r>
      <w:r>
        <w:t xml:space="preserve">rebuilt gain had predicted −1.6 points on average against −1.4 realized for the 26 with both values, and their</w:t>
      </w:r>
      <w:r>
        <w:t xml:space="preserve"> </w:t>
      </w:r>
      <w:r>
        <w:t xml:space="preserve">updated benchmarks rose from PY2021 to PY2022 no more than stayers’ (difference 0.0 points; 95% CrI, −2.0 to 2.2)</w:t>
      </w:r>
      <w:r>
        <w:t xml:space="preserve"> </w:t>
      </w:r>
      <w:r>
        <w:t xml:space="preserve">(eTable 12 in Multimedia Appendix 1).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 α 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39" name="Picture"/>
            <a:graphic>
              <a:graphicData uri="http://schemas.openxmlformats.org/drawingml/2006/picture">
                <pic:pic>
                  <pic:nvPicPr>
                    <pic:cNvPr descr="figures/figure2-compariso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41"/>
    <w:bookmarkStart w:id="45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=.002)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=.003);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=.19);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Multimedia Appendix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43" name="Picture"/>
            <a:graphic>
              <a:graphicData uri="http://schemas.openxmlformats.org/drawingml/2006/picture">
                <pic:pic>
                  <pic:nvPicPr>
                    <pic:cNvPr descr="figures/figure3-decision-mod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Decision model of early renewal among BASIC-track ACOs (H3). Points are posterior means and lines 95% credible intervals; the shaded band is the Normal(0, 1) prior’s central 95%. Bold labels mark the core predictors.</w:t>
      </w:r>
    </w:p>
    <w:bookmarkEnd w:id="45"/>
    <w:bookmarkStart w:id="49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=.78;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=.58),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Multimedia Appendix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=.30).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47" name="Picture"/>
            <a:graphic>
              <a:graphicData uri="http://schemas.openxmlformats.org/drawingml/2006/picture">
                <pic:pic>
                  <pic:nvPicPr>
                    <pic:cNvPr descr="figures/figure4-spendin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49"/>
    <w:bookmarkStart w:id="50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Multimedia Appendix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=.001),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Multimedia Appendix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=.09; H1,</w:t>
      </w:r>
      <w:r>
        <w:t xml:space="preserve"> </w:t>
      </w:r>
      <w:r>
        <w:rPr>
          <w:i/>
          <w:iCs/>
        </w:rPr>
        <w:t xml:space="preserve">P</w:t>
      </w:r>
      <w:r>
        <w:t xml:space="preserve">=.06)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Multimedia Appendix 1).</w:t>
      </w:r>
    </w:p>
    <w:p>
      <w:pPr>
        <w:pStyle w:val="BodyText"/>
      </w:pPr>
      <w:r>
        <w:t xml:space="preserve">Among the exploratory analyses (eTables 9-11 in Multimedia Appendix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50"/>
    <w:bookmarkEnd w:id="51"/>
    <w:bookmarkStart w:id="57" w:name="discussion"/>
    <w:p>
      <w:pPr>
        <w:pStyle w:val="Heading1"/>
      </w:pPr>
      <w:r>
        <w:t xml:space="preserve">Discussion</w:t>
      </w:r>
    </w:p>
    <w:bookmarkStart w:id="52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t xml:space="preserve">In this preregistered study of the 2019 and 2020 MSSP cohorts, ACOs that ended their agreements early to begin new</w:t>
      </w:r>
      <w:r>
        <w:t xml:space="preserve"> </w:t>
      </w:r>
      <w:r>
        <w:t xml:space="preserve">ones on average had regions that spent more relative to their current benchmarks, and, among BASIC-track ACOs, were</w:t>
      </w:r>
      <w:r>
        <w:t xml:space="preserve"> </w:t>
      </w:r>
      <w:r>
        <w:t xml:space="preserve">more often already at the higher, two-sided levels. They were also beating their benchmarks by more than ACOs that</w:t>
      </w:r>
      <w:r>
        <w:t xml:space="preserve"> </w:t>
      </w:r>
      <w:r>
        <w:t xml:space="preserve">stayed, so by the study’s approximation a reset would not on average have raised their benchmarks: the regional gain</w:t>
      </w:r>
      <w:r>
        <w:t xml:space="preserve"> </w:t>
      </w:r>
      <w:r>
        <w:t xml:space="preserve">and the own-spending loss roughly offset. CMS’s published 2022 benchmarks, examined post hoc, agree. Spending growth in the 3 years after renewal did not differ detectably from</w:t>
      </w:r>
      <w:r>
        <w:t xml:space="preserve"> </w:t>
      </w:r>
      <w:r>
        <w:t xml:space="preserve">that of ACOs not yet renewed, a result the design could not separate from a continuation of a pre-period difference in</w:t>
      </w:r>
      <w:r>
        <w:t xml:space="preserve"> </w:t>
      </w:r>
      <w:r>
        <w:t xml:space="preserve">trends.</w:t>
      </w:r>
    </w:p>
    <w:p>
      <w:pPr>
        <w:pStyle w:val="BodyText"/>
      </w:pPr>
      <w:r>
        <w:t xml:space="preserve">To the author’s knowledge, this is the first peer-reviewed study of which ACOs used the early-renewal option. It adds</w:t>
      </w:r>
      <w:r>
        <w:t xml:space="preserve"> </w:t>
      </w:r>
      <w:r>
        <w:t xml:space="preserve">3 things to the literature on how benchmark rules sort ACOs: evidence that the sorting extends from whether ACOs join</w:t>
      </w:r>
      <w:r>
        <w:t xml:space="preserve"> </w:t>
      </w:r>
      <w:r>
        <w:t xml:space="preserve">or leave to when they reset; evidence against the intuitive account that ACOs renewed early to raise their</w:t>
      </w:r>
      <w:r>
        <w:t xml:space="preserve"> </w:t>
      </w:r>
      <w:r>
        <w:t xml:space="preserve">benchmarks; and a preregistered estimate of spending after renewal, under rules that have since changed.</w:t>
      </w:r>
    </w:p>
    <w:bookmarkEnd w:id="52"/>
    <w:bookmarkStart w:id="53" w:name="comparison-with-prior-work"/>
    <w:p>
      <w:pPr>
        <w:pStyle w:val="Heading2"/>
      </w:pPr>
      <w:r>
        <w:t xml:space="preserve">Comparison With Prior Work</w:t>
      </w:r>
    </w:p>
    <w:p>
      <w:pPr>
        <w:pStyle w:val="FirstParagraph"/>
      </w:pPr>
      <w:r>
        <w:t xml:space="preserve">The primary result extends to a new decision the pattern that participation follows the benchmark formula.</w:t>
      </w:r>
      <w:r>
        <w:t xml:space="preserve"> </w:t>
      </w:r>
      <w:r>
        <w:t xml:space="preserve">Participation shifted toward providers whose spending was low relative to their region once regional spending entered</w:t>
      </w:r>
      <w:r>
        <w:t xml:space="preserve"> </w:t>
      </w:r>
      <w:r>
        <w:t xml:space="preserve">benchmarks,</w:t>
      </w:r>
      <w:r>
        <w:t xml:space="preserve">[</w:t>
      </w:r>
      <w:hyperlink w:anchor="ref-lyu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ACOs whose effective benchmarks fell were more likely to leave.</w:t>
      </w:r>
      <w:r>
        <w:t xml:space="preserve">[</w:t>
      </w:r>
      <w:hyperlink w:anchor="ref-chen2025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A dissertation modeling MSSP</w:t>
      </w:r>
      <w:r>
        <w:t xml:space="preserve"> </w:t>
      </w:r>
      <w:r>
        <w:t xml:space="preserve">participation found both effects of the benchmark rules: savings rates were 40% higher in years whose spending did</w:t>
      </w:r>
      <w:r>
        <w:t xml:space="preserve"> </w:t>
      </w:r>
      <w:r>
        <w:t xml:space="preserve">not enter rebasing, a ratchet effect, and ACOs with a positive regional adjustment were about 70% less likely to exit</w:t>
      </w:r>
      <w:r>
        <w:t xml:space="preserve"> </w:t>
      </w:r>
      <w:r>
        <w:t xml:space="preserve">than those with a negative one.</w:t>
      </w:r>
      <w:r>
        <w:t xml:space="preserve">[</w:t>
      </w:r>
      <w:hyperlink w:anchor="ref-cappello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Here the choice is when to reset rather than whether to join or leave,</w:t>
      </w:r>
      <w:r>
        <w:t xml:space="preserve"> </w:t>
      </w:r>
      <w:r>
        <w:t xml:space="preserve">and early renewers had, on average, more room under their regions’ spending: the ACOs that chose an early reset were</w:t>
      </w:r>
      <w:r>
        <w:t xml:space="preserve"> </w:t>
      </w:r>
      <w:r>
        <w:t xml:space="preserve">those the regional adjustment favored. An industry analysis of the same rebasing cohort found that ACOs rebasing early in 2022 had higher gross</w:t>
      </w:r>
      <w:r>
        <w:t xml:space="preserve"> </w:t>
      </w:r>
      <w:r>
        <w:t xml:space="preserve">savings rates beforehand and that the earlier incumbents among them moved to ENHANCED,</w:t>
      </w:r>
      <w:r>
        <w:t xml:space="preserve">[</w:t>
      </w:r>
      <w:hyperlink w:anchor="ref-milliman2024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consistent with</w:t>
      </w:r>
      <w:r>
        <w:t xml:space="preserve"> </w:t>
      </w:r>
      <w:r>
        <w:t xml:space="preserve">H1 and the BASIC-level association here. Beyond that analysis, this study rebuilt the reset benchmark and validated it</w:t>
      </w:r>
      <w:r>
        <w:t xml:space="preserve"> </w:t>
      </w:r>
      <w:r>
        <w:t xml:space="preserve">against CMS’s, separated its own-spending and regional parts, modeled the decision within the BASIC track and followed</w:t>
      </w:r>
      <w:r>
        <w:t xml:space="preserve"> </w:t>
      </w:r>
      <w:r>
        <w:t xml:space="preserve">spending afterward, under a preregistered plan. The finding that early renewers were savers also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rules.</w:t>
      </w:r>
      <w:r>
        <w:t xml:space="preserve">[</w:t>
      </w:r>
      <w:hyperlink w:anchor="ref-ying2023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The same success, however, meant that the own-spending part of a reset would</w:t>
      </w:r>
      <w:r>
        <w:t xml:space="preserve"> </w:t>
      </w:r>
      <w:r>
        <w:t xml:space="preserve">have cut their benchmarks. The intuitive account that ACOs renewed early to get a higher benchmark therefore does not</w:t>
      </w:r>
      <w:r>
        <w:t xml:space="preserve"> </w:t>
      </w:r>
      <w:r>
        <w:t xml:space="preserve">describe them on average, and CMS’s published 2022 benchmarks, examined post hoc, agree.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 ENHANCED, and the rules let no stayer do so.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and ACOs experienced with performance-based risk could</w:t>
      </w:r>
      <w:r>
        <w:t xml:space="preserve"> </w:t>
      </w:r>
      <w:r>
        <w:t xml:space="preserve">enter only Level E or ENHANCED,</w:t>
      </w:r>
      <w:r>
        <w:t xml:space="preserve">[</w:t>
      </w:r>
      <w:hyperlink w:anchor="ref-cfr425600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the association may also reflect earlier risk experience or appetite rather</w:t>
      </w:r>
      <w:r>
        <w:t xml:space="preserve"> </w:t>
      </w:r>
      <w:r>
        <w:t xml:space="preserve">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</w:t>
      </w:r>
      <w:r>
        <w:t xml:space="preserve"> </w:t>
      </w:r>
      <w:r>
        <w:t xml:space="preserve">already in ENHANCED, for whom only the reset could change, looked like typical stayers on every variable, but 2 ACOs</w:t>
      </w:r>
      <w:r>
        <w:t xml:space="preserve"> </w:t>
      </w:r>
      <w:r>
        <w:t xml:space="preserve">cannot separate the motives. No test here can rule either motive in or out.</w:t>
      </w:r>
    </w:p>
    <w:bookmarkEnd w:id="53"/>
    <w:bookmarkStart w:id="54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the early-renewal option let ACOs choose when to reset, and that those</w:t>
      </w:r>
      <w:r>
        <w:t xml:space="preserve"> </w:t>
      </w:r>
      <w:r>
        <w:t xml:space="preserve">that used it were, by the approximation, positioned to gain from the regional adjustment rather than from a higher</w:t>
      </w:r>
      <w:r>
        <w:t xml:space="preserve"> </w:t>
      </w:r>
      <w:r>
        <w:t xml:space="preserve">benchmark overall, with a higher sharing rate available to almost all of them. The 2024 rules also offer a test: 34</w:t>
      </w:r>
      <w:r>
        <w:t xml:space="preserve"> </w:t>
      </w:r>
      <w:r>
        <w:t xml:space="preserve">stayers renewed early into 2024 agreements under them. That is selection into an option the</w:t>
      </w:r>
      <w:r>
        <w:t xml:space="preserve"> </w:t>
      </w:r>
      <w:r>
        <w:t xml:space="preserve">program created; it is not evidence that renewing changed spending. The rules have since changed. For agreement</w:t>
      </w:r>
      <w:r>
        <w:t xml:space="preserve"> </w:t>
      </w:r>
      <w:r>
        <w:t xml:space="preserve">periods beginning January 1, 2024 or later, an ACO that saved in its benchmark years can receive a prior savings</w:t>
      </w:r>
      <w:r>
        <w:t xml:space="preserve"> </w:t>
      </w:r>
      <w:r>
        <w:t xml:space="preserve">adjustment, and its benchmark gets the higher of that adjustment and the regional adjustment; negative regional</w:t>
      </w:r>
      <w:r>
        <w:t xml:space="preserve"> </w:t>
      </w:r>
      <w:r>
        <w:t xml:space="preserve">adjustments are partly offset; and the annual update blends in a fixed projected trend.</w:t>
      </w:r>
      <w:r>
        <w:t xml:space="preserve">[</w:t>
      </w:r>
      <w:hyperlink w:anchor="ref-cfr2024">
        <w:r>
          <w:rPr>
            <w:rStyle w:val="Hyperlink"/>
          </w:rPr>
          <w:t xml:space="preserve">59</w:t>
        </w:r>
      </w:hyperlink>
      <w:r>
        <w:t xml:space="preserve">]</w:t>
      </w:r>
      <w:r>
        <w:t xml:space="preserve"> </w:t>
      </w:r>
      <w:r>
        <w:t xml:space="preserve">Under these rules</w:t>
      </w:r>
      <w:r>
        <w:t xml:space="preserve"> </w:t>
      </w:r>
      <w:r>
        <w:t xml:space="preserve">a reset costs an ACO that has been beating its benchmark less, so the incentive to renew early, and which ACOs do so,</w:t>
      </w:r>
      <w:r>
        <w:t xml:space="preserve"> </w:t>
      </w:r>
      <w:r>
        <w:t xml:space="preserve">may differ. Two questions remain open: what early renewal cost Medicare, and how much of the choice reflected the</w:t>
      </w:r>
      <w:r>
        <w:t xml:space="preserve"> </w:t>
      </w:r>
      <w:r>
        <w:t xml:space="preserve">sharing rate rather than the benchmark, which a period in which ACOs could move to ENHANCED without resetting would</w:t>
      </w:r>
      <w:r>
        <w:t xml:space="preserve"> </w:t>
      </w:r>
      <w:r>
        <w:t xml:space="preserve">separate.</w:t>
      </w:r>
    </w:p>
    <w:bookmarkEnd w:id="54"/>
    <w:bookmarkStart w:id="55" w:name="strengths-and-limitations"/>
    <w:p>
      <w:pPr>
        <w:pStyle w:val="Heading2"/>
      </w:pPr>
      <w:r>
        <w:t xml:space="preserve">Strengths and Limitations</w:t>
      </w:r>
    </w:p>
    <w:p>
      <w:pPr>
        <w:pStyle w:val="FirstParagraph"/>
      </w:pPr>
      <w:r>
        <w:t xml:space="preserve">The study’s strengths are in its design. The plan, decision rules and code were registered before any outcome data</w:t>
      </w:r>
      <w:r>
        <w:t xml:space="preserve"> </w:t>
      </w:r>
      <w:r>
        <w:t xml:space="preserve">were read, and the code enforced that order; the benchmark CMS does not publish was rebuilt from the regulation and</w:t>
      </w:r>
      <w:r>
        <w:t xml:space="preserve"> </w:t>
      </w:r>
      <w:r>
        <w:t xml:space="preserve">validated before use; the measurement error found in validation was carried into the decision model; and every</w:t>
      </w:r>
      <w:r>
        <w:t xml:space="preserve"> </w:t>
      </w:r>
      <w:r>
        <w:t xml:space="preserve">registered verdict agreed with its conventional frequentist counterpart. The code, data snapshot and results are</w:t>
      </w:r>
      <w:r>
        <w:t xml:space="preserve"> </w:t>
      </w:r>
      <w:r>
        <w:t xml:space="preserve">public, so every estimate can be rerun.</w:t>
      </w:r>
    </w:p>
    <w:p>
      <w:pPr>
        <w:pStyle w:val="BodyText"/>
      </w:pPr>
      <w:r>
        <w:t xml:space="preserve">It also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decided. Validation was on benchmark levels, which vary widely across ACOs, while the hypotheses</w:t>
      </w:r>
      <w:r>
        <w:t xml:space="preserve"> </w:t>
      </w:r>
      <w:r>
        <w:t xml:space="preserve">concern differences of a few points of the benchmark, so it says less about the accuracy of the gain than its</w:t>
      </w:r>
      <w:r>
        <w:t xml:space="preserve"> </w:t>
      </w:r>
      <w:r>
        <w:t xml:space="preserve">correlation suggests: repeated post hoc on the change scale, it gave a Spearman correlation of 0.61 and a median</w:t>
      </w:r>
      <w:r>
        <w:t xml:space="preserve"> </w:t>
      </w:r>
      <w:r>
        <w:t xml:space="preserve">absolute error of 1.7 points with little mean bias (−0.3), so group means are better supported than any one ACO’s</w:t>
      </w:r>
      <w:r>
        <w:t xml:space="preserve"> </w:t>
      </w:r>
      <w:r>
        <w:t xml:space="preserve">value; the own-spending component’s estimated error exceeds its spread, so H2a and the total gain are weak evidence for any single ACO, and the regional</w:t>
      </w:r>
      <w:r>
        <w:t xml:space="preserve"> </w:t>
      </w:r>
      <w:r>
        <w:t xml:space="preserve">part could not be checked. Third, with 29 early renewers, 24 in the decision model, H3 was underpowered and its</w:t>
      </w:r>
      <w:r>
        <w:t xml:space="preserve"> </w:t>
      </w:r>
      <w:r>
        <w:t xml:space="preserve">supported coefficients are probably overestimates. ACOs under common ownership may decide together, and ACOs in the</w:t>
      </w:r>
      <w:r>
        <w:t xml:space="preserve"> </w:t>
      </w:r>
      <w:r>
        <w:t xml:space="preserve">same market share regional spending, so the effective sample is smaller than the ACO count, and the permutation tests,</w:t>
      </w:r>
      <w:r>
        <w:t xml:space="preserve"> </w:t>
      </w:r>
      <w:r>
        <w:t xml:space="preserve">which treat ACOs as exchangeable within cohort, may overstate precision. Fourth, exclusions exceeded the plan’s 10% line in both groups,</w:t>
      </w:r>
      <w:r>
        <w:t xml:space="preserve"> </w:t>
      </w:r>
      <w:r>
        <w:t xml:space="preserve">and the excluded ACOs were smaller, so H2a, H2b and H3 describe the larger ACOs. Fifth, H4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while trade groups were asking CMS to allow</w:t>
      </w:r>
      <w:r>
        <w:t xml:space="preserve"> </w:t>
      </w:r>
      <w:r>
        <w:t xml:space="preserve">pre-pandemic benchmark years,</w:t>
      </w:r>
      <w:r>
        <w:t xml:space="preserve">[</w:t>
      </w:r>
      <w:hyperlink w:anchor="ref-aha2021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 </w:t>
      </w:r>
      <w:r>
        <w:t xml:space="preserve">so anticipation and timing effects are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 enrollment record (22 cohort ACOs left before then); stayers include</w:t>
      </w:r>
      <w:r>
        <w:t xml:space="preserve"> </w:t>
      </w:r>
      <w:r>
        <w:t xml:space="preserve">42 ACOs that renewed early in 2023 or 2024, so H2 and H3 describe the 2022 decision rather than early renewal at any</w:t>
      </w:r>
      <w:r>
        <w:t xml:space="preserve"> </w:t>
      </w:r>
      <w:r>
        <w:t xml:space="preserve">time;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  <w:r>
        <w:t xml:space="preserve"> </w:t>
      </w:r>
      <w:r>
        <w:t xml:space="preserve">Finally, the analysis reads its table without a fixed row order, so a rerun reproduces deterministic values exactly</w:t>
      </w:r>
      <w:r>
        <w:t xml:space="preserve"> </w:t>
      </w:r>
      <w:r>
        <w:t xml:space="preserve">but resampled and simulated values only within simulation error (for example, H1’s simulated power at the MDE was</w:t>
      </w:r>
      <w:r>
        <w:t xml:space="preserve"> </w:t>
      </w:r>
      <w:r>
        <w:t xml:space="preserve">80.4% as committed and 77.6% in a rerun from a fresh clone), far from changing any verdict.</w:t>
      </w:r>
    </w:p>
    <w:bookmarkEnd w:id="55"/>
    <w:bookmarkStart w:id="56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ACOs that renewed early into 2022 MSSP agreements more often had regions that spent more relative to their benchmarks</w:t>
      </w:r>
      <w:r>
        <w:t xml:space="preserve"> </w:t>
      </w:r>
      <w:r>
        <w:t xml:space="preserve">and were more often at higher BASIC levels, for which renewal opened the ENHANCED track. By the study’s</w:t>
      </w:r>
      <w:r>
        <w:t xml:space="preserve"> </w:t>
      </w:r>
      <w:r>
        <w:t xml:space="preserve">approximation, and in CMS’s published 2022 benchmarks examined post hoc, the reset did not on average raise their</w:t>
      </w:r>
      <w:r>
        <w:t xml:space="preserve"> </w:t>
      </w:r>
      <w:r>
        <w:t xml:space="preserve">benchmarks, and spending growth afterward showed no</w:t>
      </w:r>
      <w:r>
        <w:t xml:space="preserve"> </w:t>
      </w:r>
      <w:r>
        <w:t xml:space="preserve">detectable difference. These are associations under the 2022 rules, measured with public data under a preregistered</w:t>
      </w:r>
      <w:r>
        <w:t xml:space="preserve"> </w:t>
      </w:r>
      <w:r>
        <w:t xml:space="preserve">plan. They extend the evidence that ACOs sort on benchmark rules to the timing of resets and give a baseline for the</w:t>
      </w:r>
      <w:r>
        <w:t xml:space="preserve"> </w:t>
      </w:r>
      <w:r>
        <w:t xml:space="preserve">rules in force since 2024.</w:t>
      </w:r>
    </w:p>
    <w:bookmarkEnd w:id="56"/>
    <w:bookmarkEnd w:id="57"/>
    <w:bookmarkStart w:id="5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The author declared no financial support was received for this work.</w:t>
      </w:r>
    </w:p>
    <w:bookmarkEnd w:id="58"/>
    <w:bookmarkStart w:id="59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is employed as a data scientist at Indiana University Health. This study was conducted independently of</w:t>
      </w:r>
      <w:r>
        <w:t xml:space="preserve"> </w:t>
      </w:r>
      <w:r>
        <w:t xml:space="preserve">that employment, using only public data, and Indiana University Health had no role in its design, analysis,</w:t>
      </w:r>
      <w:r>
        <w:t xml:space="preserve"> </w:t>
      </w:r>
      <w:r>
        <w:t xml:space="preserve">interpretation or reporting. The author declares no other competing interests. The views expressed are the author’s</w:t>
      </w:r>
      <w:r>
        <w:t xml:space="preserve"> </w:t>
      </w:r>
      <w:r>
        <w:t xml:space="preserve">own and do not represent the official positions of Indiana University Health.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22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28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The list of the 40 files</w:t>
      </w:r>
      <w:r>
        <w:t xml:space="preserve"> </w:t>
      </w:r>
      <w:r>
        <w:t xml:space="preserve">downloaded, with sizes, SHA-256 hashes and URLs, and a script that downloads and verifies them are in the study</w:t>
      </w:r>
      <w:r>
        <w:t xml:space="preserve"> </w:t>
      </w:r>
      <w:r>
        <w:t xml:space="preserve">repository;</w:t>
      </w:r>
      <w:r>
        <w:t xml:space="preserve">[</w:t>
      </w:r>
      <w:hyperlink w:anchor="ref-code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</w:t>
      </w:r>
      <w:r>
        <w:t xml:space="preserve"> </w:t>
      </w:r>
      <w:r>
        <w:t xml:space="preserve">study repository and in this manuscript’s repository.</w:t>
      </w:r>
      <w:r>
        <w:t xml:space="preserve">[</w:t>
      </w:r>
      <w:hyperlink w:anchor="ref-paperrepo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 </w:t>
      </w:r>
      <w:r>
        <w:t xml:space="preserve">The registered</w:t>
      </w:r>
      <w:r>
        <w:t xml:space="preserve"> </w:t>
      </w:r>
      <w:r>
        <w:t xml:space="preserve">analysis code (commit a4064f5), its tests and step-by-step instructions to rerun and adapt the analysis are in the study repository.</w:t>
      </w:r>
      <w:r>
        <w:t xml:space="preserve">[</w:t>
      </w:r>
      <w:hyperlink w:anchor="ref-code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A longer account</w:t>
      </w:r>
      <w:r>
        <w:t xml:space="preserve"> </w:t>
      </w:r>
      <w:r>
        <w:t xml:space="preserve">of the study for a general audience was published online.</w:t>
      </w:r>
      <w:r>
        <w:t xml:space="preserve">[</w:t>
      </w:r>
      <w:hyperlink w:anchor="ref-post">
        <w:r>
          <w:rPr>
            <w:rStyle w:val="Hyperlink"/>
          </w:rPr>
          <w:t xml:space="preserve">62</w:t>
        </w:r>
      </w:hyperlink>
      <w:r>
        <w:t xml:space="preserve">]</w:t>
      </w:r>
    </w:p>
    <w:bookmarkEnd w:id="60"/>
    <w:bookmarkStart w:id="61" w:name="authors-contributions"/>
    <w:p>
      <w:pPr>
        <w:pStyle w:val="Heading1"/>
      </w:pPr>
      <w:r>
        <w:t xml:space="preserve">Authors’ Contributions</w:t>
      </w:r>
    </w:p>
    <w:p>
      <w:pPr>
        <w:pStyle w:val="FirstParagraph"/>
      </w:pPr>
      <w:r>
        <w:t xml:space="preserve">STH: conceptualization, data curation, formal analysis, investigation, methodology, software, validation,</w:t>
      </w:r>
      <w:r>
        <w:t xml:space="preserve"> </w:t>
      </w:r>
      <w:r>
        <w:t xml:space="preserve">visualization, writing (original draft) and writing (review and editing). STH is accountable for all aspects of the</w:t>
      </w:r>
      <w:r>
        <w:t xml:space="preserve"> </w:t>
      </w:r>
      <w:r>
        <w:t xml:space="preserve">work.</w:t>
      </w:r>
    </w:p>
    <w:bookmarkEnd w:id="61"/>
    <w:bookmarkStart w:id="62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ACO: accountable care organization</w:t>
      </w:r>
      <w:r>
        <w:br/>
      </w:r>
      <w:r>
        <w:t xml:space="preserve">CFR: Code of Federal Regulations</w:t>
      </w:r>
      <w:r>
        <w:br/>
      </w:r>
      <w:r>
        <w:t xml:space="preserve">CMS: Centers for Medicare &amp; Medicaid Services</w:t>
      </w:r>
      <w:r>
        <w:br/>
      </w:r>
      <w:r>
        <w:t xml:space="preserve">CrI: credible interval</w:t>
      </w:r>
      <w:r>
        <w:br/>
      </w:r>
      <w:r>
        <w:t xml:space="preserve">ESRD: end-stage renal disease</w:t>
      </w:r>
      <w:r>
        <w:br/>
      </w:r>
      <w:r>
        <w:t xml:space="preserve">MDE: minimum detectable effect</w:t>
      </w:r>
      <w:r>
        <w:br/>
      </w:r>
      <w:r>
        <w:t xml:space="preserve">MSSP: Medicare Shared Savings Program</w:t>
      </w:r>
      <w:r>
        <w:br/>
      </w:r>
      <w:r>
        <w:t xml:space="preserve">OSF: Open Science Framework</w:t>
      </w:r>
      <w:r>
        <w:br/>
      </w:r>
      <w:r>
        <w:t xml:space="preserve">PY: performance year</w:t>
      </w:r>
    </w:p>
    <w:bookmarkEnd w:id="62"/>
    <w:bookmarkStart w:id="187" w:name="references"/>
    <w:p>
      <w:pPr>
        <w:pStyle w:val="Heading1"/>
      </w:pPr>
      <w:r>
        <w:t xml:space="preserve">References</w:t>
      </w:r>
    </w:p>
    <w:bookmarkStart w:id="186" w:name="refs"/>
    <w:bookmarkStart w:id="64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</w:t>
      </w:r>
      <w:r>
        <w:t xml:space="preserve"> </w:t>
      </w:r>
      <w:hyperlink r:id="rId63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64"/>
    <w:bookmarkStart w:id="66" w:name="ref-cfr42560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</w:t>
      </w:r>
      <w:r>
        <w:t xml:space="preserve"> </w:t>
      </w:r>
      <w:hyperlink r:id="rId65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66"/>
    <w:bookmarkStart w:id="68" w:name="ref-mcwilliams2016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67">
        <w:r>
          <w:rPr>
            <w:rStyle w:val="Hyperlink"/>
          </w:rPr>
          <w:t xml:space="preserve">10.1056/nejmsa1600142</w:t>
        </w:r>
      </w:hyperlink>
    </w:p>
    <w:bookmarkEnd w:id="68"/>
    <w:bookmarkStart w:id="70" w:name="ref-mcwilliams201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69">
        <w:r>
          <w:rPr>
            <w:rStyle w:val="Hyperlink"/>
          </w:rPr>
          <w:t xml:space="preserve">10.1056/nejmsa1803388</w:t>
        </w:r>
      </w:hyperlink>
    </w:p>
    <w:bookmarkEnd w:id="70"/>
    <w:bookmarkStart w:id="72" w:name="ref-bond2025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71">
        <w:r>
          <w:rPr>
            <w:rStyle w:val="Hyperlink"/>
          </w:rPr>
          <w:t xml:space="preserve">10.1001/jama.2025.3870</w:t>
        </w:r>
      </w:hyperlink>
    </w:p>
    <w:bookmarkEnd w:id="72"/>
    <w:bookmarkStart w:id="74" w:name="ref-mcwilliams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73">
        <w:r>
          <w:rPr>
            <w:rStyle w:val="Hyperlink"/>
          </w:rPr>
          <w:t xml:space="preserve">10.1111/1468-0009.12468</w:t>
        </w:r>
      </w:hyperlink>
    </w:p>
    <w:bookmarkEnd w:id="74"/>
    <w:bookmarkStart w:id="76" w:name="ref-markovitz2019exi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75">
        <w:r>
          <w:rPr>
            <w:rStyle w:val="Hyperlink"/>
          </w:rPr>
          <w:t xml:space="preserve">10.7326/m18-2539</w:t>
        </w:r>
      </w:hyperlink>
    </w:p>
    <w:bookmarkEnd w:id="76"/>
    <w:bookmarkStart w:id="78" w:name="ref-markovitz2019risk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77">
        <w:r>
          <w:rPr>
            <w:rStyle w:val="Hyperlink"/>
          </w:rPr>
          <w:t xml:space="preserve">10.1377/hlthaff.2018.05407</w:t>
        </w:r>
      </w:hyperlink>
    </w:p>
    <w:bookmarkEnd w:id="78"/>
    <w:bookmarkStart w:id="80" w:name="ref-douven2015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79">
        <w:r>
          <w:rPr>
            <w:rStyle w:val="Hyperlink"/>
          </w:rPr>
          <w:t xml:space="preserve">10.1377/hlthaff.2014.0444</w:t>
        </w:r>
      </w:hyperlink>
    </w:p>
    <w:bookmarkEnd w:id="80"/>
    <w:bookmarkStart w:id="82" w:name="ref-rose201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81">
        <w:r>
          <w:rPr>
            <w:rStyle w:val="Hyperlink"/>
          </w:rPr>
          <w:t xml:space="preserve">10.1377/hlthaff.2015.1026</w:t>
        </w:r>
      </w:hyperlink>
    </w:p>
    <w:bookmarkEnd w:id="82"/>
    <w:bookmarkStart w:id="84" w:name="ref-cappello2026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Cappello A.</w:t>
      </w:r>
      <w:r>
        <w:t xml:space="preserve"> </w:t>
      </w:r>
      <w:r>
        <w:rPr>
          <w:i/>
          <w:iCs/>
        </w:rPr>
        <w:t xml:space="preserve">Essays in</w:t>
      </w:r>
      <w:r>
        <w:rPr>
          <w:i/>
          <w:iCs/>
        </w:rPr>
        <w:t xml:space="preserve"> </w:t>
      </w:r>
      <w:r>
        <w:rPr>
          <w:i/>
          <w:iCs/>
        </w:rPr>
        <w:t xml:space="preserve">Industrial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Health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. PhD dissertation. Boston College; 2026.</w:t>
      </w:r>
      <w:r>
        <w:t xml:space="preserve"> </w:t>
      </w:r>
      <w:hyperlink r:id="rId83">
        <w:r>
          <w:rPr>
            <w:rStyle w:val="Hyperlink"/>
          </w:rPr>
          <w:t xml:space="preserve">https://www.proquest.com/openview/92b6e8f86c7ba39e2ba879d91063898b/1</w:t>
        </w:r>
      </w:hyperlink>
    </w:p>
    <w:bookmarkEnd w:id="84"/>
    <w:bookmarkStart w:id="86" w:name="ref-lyu2023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85">
        <w:r>
          <w:rPr>
            <w:rStyle w:val="Hyperlink"/>
          </w:rPr>
          <w:t xml:space="preserve">10.1377/hlthaff.2022.01061</w:t>
        </w:r>
      </w:hyperlink>
    </w:p>
    <w:bookmarkEnd w:id="86"/>
    <w:bookmarkStart w:id="88" w:name="ref-chen2025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87">
        <w:r>
          <w:rPr>
            <w:rStyle w:val="Hyperlink"/>
          </w:rPr>
          <w:t xml:space="preserve">10.1086/726748</w:t>
        </w:r>
      </w:hyperlink>
    </w:p>
    <w:bookmarkEnd w:id="88"/>
    <w:bookmarkStart w:id="90" w:name="ref-srivastava2026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89">
        <w:r>
          <w:rPr>
            <w:rStyle w:val="Hyperlink"/>
          </w:rPr>
          <w:t xml:space="preserve">10.1001/jamanetworkopen.2026.0166</w:t>
        </w:r>
      </w:hyperlink>
    </w:p>
    <w:bookmarkEnd w:id="90"/>
    <w:bookmarkStart w:id="92" w:name="ref-bleser2019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91">
        <w:r>
          <w:rPr>
            <w:rStyle w:val="Hyperlink"/>
          </w:rPr>
          <w:t xml:space="preserve">10.1377/hlthaff.2018.05097</w:t>
        </w:r>
      </w:hyperlink>
    </w:p>
    <w:bookmarkEnd w:id="92"/>
    <w:bookmarkStart w:id="94" w:name="ref-zhu2023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93">
        <w:r>
          <w:rPr>
            <w:rStyle w:val="Hyperlink"/>
          </w:rPr>
          <w:t xml:space="preserve">10.1111/jrh.12672</w:t>
        </w:r>
      </w:hyperlink>
    </w:p>
    <w:bookmarkEnd w:id="94"/>
    <w:bookmarkStart w:id="96" w:name="ref-ying2023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95">
        <w:r>
          <w:rPr>
            <w:rStyle w:val="Hyperlink"/>
          </w:rPr>
          <w:t xml:space="preserve">10.1007/s11606-022-07947-x</w:t>
        </w:r>
      </w:hyperlink>
    </w:p>
    <w:bookmarkEnd w:id="96"/>
    <w:bookmarkStart w:id="98" w:name="ref-ying2024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97">
        <w:r>
          <w:rPr>
            <w:rStyle w:val="Hyperlink"/>
          </w:rPr>
          <w:t xml:space="preserve">10.1093/haschl/qxad093</w:t>
        </w:r>
      </w:hyperlink>
    </w:p>
    <w:bookmarkEnd w:id="98"/>
    <w:bookmarkStart w:id="100" w:name="ref-moloci2021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99">
        <w:r>
          <w:rPr>
            <w:rStyle w:val="Hyperlink"/>
          </w:rPr>
          <w:t xml:space="preserve">10.1007/s11606-020-06424-7</w:t>
        </w:r>
      </w:hyperlink>
    </w:p>
    <w:bookmarkEnd w:id="100"/>
    <w:bookmarkStart w:id="102" w:name="ref-trombley2022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101">
        <w:r>
          <w:rPr>
            <w:rStyle w:val="Hyperlink"/>
          </w:rPr>
          <w:t xml:space="preserve">10.1377/hlthaff.2020.01819</w:t>
        </w:r>
      </w:hyperlink>
    </w:p>
    <w:bookmarkEnd w:id="102"/>
    <w:bookmarkStart w:id="104" w:name="ref-frpathway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</w:t>
      </w:r>
      <w:r>
        <w:t xml:space="preserve"> </w:t>
      </w:r>
      <w:hyperlink r:id="rId103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104"/>
    <w:bookmarkStart w:id="106" w:name="ref-dataacos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105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106"/>
    <w:bookmarkStart w:id="108" w:name="ref-milliman2024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Smith M, Jensen B, Anderson J, Lockett K.</w:t>
      </w:r>
      <w: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ACO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Results for 2022</w:t>
      </w:r>
      <w:r>
        <w:t xml:space="preserve">. Milliman; 2024.</w:t>
      </w:r>
      <w:r>
        <w:t xml:space="preserve"> </w:t>
      </w:r>
      <w:hyperlink r:id="rId107">
        <w:r>
          <w:rPr>
            <w:rStyle w:val="Hyperlink"/>
          </w:rPr>
          <w:t xml:space="preserve">https://www.milliman.com/-/media/milliman/pdfs/2024-articles/4-2-24_medicare_shared_savings_program_aco_financial_results_for_2022.ashx</w:t>
        </w:r>
      </w:hyperlink>
    </w:p>
    <w:bookmarkEnd w:id="108"/>
    <w:bookmarkStart w:id="110" w:name="ref-milliman2025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Milliman.</w:t>
      </w:r>
      <w:r>
        <w:t xml:space="preserve"> </w:t>
      </w:r>
      <w:r>
        <w:rPr>
          <w:i/>
          <w:iCs/>
        </w:rPr>
        <w:t xml:space="preserve">Annual Renewal Considerations in the</w:t>
      </w:r>
      <w:r>
        <w:rPr>
          <w:i/>
          <w:iCs/>
        </w:rP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MSSP</w:t>
      </w:r>
      <w:r>
        <w:rPr>
          <w:i/>
          <w:iCs/>
        </w:rPr>
        <w:t xml:space="preserve">)</w:t>
      </w:r>
      <w:r>
        <w:t xml:space="preserve">. Milliman; 2025.</w:t>
      </w:r>
      <w:r>
        <w:t xml:space="preserve"> </w:t>
      </w:r>
      <w:hyperlink r:id="rId109">
        <w:r>
          <w:rPr>
            <w:rStyle w:val="Hyperlink"/>
          </w:rPr>
          <w:t xml:space="preserve">https://edge.sitecorecloud.io/millimaninc5660-milliman6442-prod27d5-0001/media/Milliman/PDFs/2025-Articles/4-7-25_MSSP-annual-renewal-considerations.pdf</w:t>
        </w:r>
      </w:hyperlink>
    </w:p>
    <w:bookmarkEnd w:id="110"/>
    <w:bookmarkStart w:id="111" w:name="ref-registration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111"/>
    <w:bookmarkStart w:id="113" w:name="ref-vonelm2007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112">
        <w:r>
          <w:rPr>
            <w:rStyle w:val="Hyperlink"/>
          </w:rPr>
          <w:t xml:space="preserve">10.1371/journal.pmed.0040296</w:t>
        </w:r>
      </w:hyperlink>
    </w:p>
    <w:bookmarkEnd w:id="113"/>
    <w:bookmarkStart w:id="115" w:name="ref-code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</w:t>
      </w:r>
      <w:r>
        <w:t xml:space="preserve"> </w:t>
      </w:r>
      <w:hyperlink r:id="rId114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115"/>
    <w:bookmarkStart w:id="117" w:name="ref-dataresults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116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117"/>
    <w:bookmarkStart w:id="119" w:name="ref-datacounty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118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119"/>
    <w:bookmarkStart w:id="121" w:name="ref-dataassigned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120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21"/>
    <w:bookmarkStart w:id="123" w:name="ref-osfproject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22">
        <w:r>
          <w:rPr>
            <w:rStyle w:val="Hyperlink"/>
          </w:rPr>
          <w:t xml:space="preserve">10.17605/OSF.IO/Z4AN5</w:t>
        </w:r>
      </w:hyperlink>
    </w:p>
    <w:bookmarkEnd w:id="123"/>
    <w:bookmarkStart w:id="125" w:name="ref-suppression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</w:t>
      </w:r>
      <w:r>
        <w:t xml:space="preserve"> </w:t>
      </w:r>
      <w:hyperlink r:id="rId124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25"/>
    <w:bookmarkStart w:id="127" w:name="ref-specv10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</w:t>
      </w:r>
      <w:r>
        <w:t xml:space="preserve"> </w:t>
      </w:r>
      <w:hyperlink r:id="rId126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27"/>
    <w:bookmarkStart w:id="129" w:name="ref-cfr425600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425.600:</w:t>
      </w:r>
      <w:r>
        <w:t xml:space="preserve"> </w:t>
      </w:r>
      <w:r>
        <w:t xml:space="preserve">Selection</w:t>
      </w:r>
      <w:r>
        <w:t xml:space="preserve"> </w:t>
      </w:r>
      <w:r>
        <w:t xml:space="preserve">of risk model. Published online 2022.</w:t>
      </w:r>
      <w:r>
        <w:t xml:space="preserve"> </w:t>
      </w:r>
      <w:hyperlink r:id="rId128">
        <w:r>
          <w:rPr>
            <w:rStyle w:val="Hyperlink"/>
          </w:rPr>
          <w:t xml:space="preserve">https://www.ecfr.gov/on/2022-01-01/title-42/chapter-IV/subchapter-B/part-425/subpart-G/section-425.600#p-425.600%28d%29</w:t>
        </w:r>
      </w:hyperlink>
    </w:p>
    <w:bookmarkEnd w:id="129"/>
    <w:bookmarkStart w:id="131" w:name="ref-rubin1981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30">
        <w:r>
          <w:rPr>
            <w:rStyle w:val="Hyperlink"/>
          </w:rPr>
          <w:t xml:space="preserve">10.1214/aos/1176345338</w:t>
        </w:r>
      </w:hyperlink>
    </w:p>
    <w:bookmarkEnd w:id="131"/>
    <w:bookmarkStart w:id="133" w:name="ref-phipson2010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32">
        <w:r>
          <w:rPr>
            <w:rStyle w:val="Hyperlink"/>
          </w:rPr>
          <w:t xml:space="preserve">10.2202/1544-6115.1585</w:t>
        </w:r>
      </w:hyperlink>
    </w:p>
    <w:bookmarkEnd w:id="133"/>
    <w:bookmarkStart w:id="135" w:name="ref-pymc2023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34">
        <w:r>
          <w:rPr>
            <w:rStyle w:val="Hyperlink"/>
          </w:rPr>
          <w:t xml:space="preserve">10.7717/peerj-cs.1516</w:t>
        </w:r>
      </w:hyperlink>
    </w:p>
    <w:bookmarkEnd w:id="135"/>
    <w:bookmarkStart w:id="137" w:name="ref-hoffman2014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</w:t>
      </w:r>
      <w:r>
        <w:t xml:space="preserve"> </w:t>
      </w:r>
      <w:hyperlink r:id="rId136">
        <w:r>
          <w:rPr>
            <w:rStyle w:val="Hyperlink"/>
          </w:rPr>
          <w:t xml:space="preserve">https://jmlr.org/papers/v15/hoffman14a.html</w:t>
        </w:r>
      </w:hyperlink>
    </w:p>
    <w:bookmarkEnd w:id="137"/>
    <w:bookmarkStart w:id="139" w:name="ref-gelman2008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38">
        <w:r>
          <w:rPr>
            <w:rStyle w:val="Hyperlink"/>
          </w:rPr>
          <w:t xml:space="preserve">10.1002/sim.3107</w:t>
        </w:r>
      </w:hyperlink>
    </w:p>
    <w:bookmarkEnd w:id="139"/>
    <w:bookmarkStart w:id="141" w:name="ref-vehtari2021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40">
        <w:r>
          <w:rPr>
            <w:rStyle w:val="Hyperlink"/>
          </w:rPr>
          <w:t xml:space="preserve">10.1214/20-ba1221</w:t>
        </w:r>
      </w:hyperlink>
    </w:p>
    <w:bookmarkEnd w:id="141"/>
    <w:bookmarkStart w:id="143" w:name="ref-firth1993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42">
        <w:r>
          <w:rPr>
            <w:rStyle w:val="Hyperlink"/>
          </w:rPr>
          <w:t xml:space="preserve">10.1093/biomet/80.1.27</w:t>
        </w:r>
      </w:hyperlink>
    </w:p>
    <w:bookmarkEnd w:id="143"/>
    <w:bookmarkStart w:id="145" w:name="ref-firthmodels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</w:t>
      </w:r>
      <w:r>
        <w:t xml:space="preserve"> </w:t>
      </w:r>
      <w:hyperlink r:id="rId144">
        <w:r>
          <w:rPr>
            <w:rStyle w:val="Hyperlink"/>
          </w:rPr>
          <w:t xml:space="preserve">https://github.com/jzluo/firthmodels</w:t>
        </w:r>
      </w:hyperlink>
    </w:p>
    <w:bookmarkEnd w:id="145"/>
    <w:bookmarkStart w:id="147" w:name="ref-gelmanprior2008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46">
        <w:r>
          <w:rPr>
            <w:rStyle w:val="Hyperlink"/>
          </w:rPr>
          <w:t xml:space="preserve">10.1214/08-aoas191</w:t>
        </w:r>
      </w:hyperlink>
    </w:p>
    <w:bookmarkEnd w:id="147"/>
    <w:bookmarkStart w:id="149" w:name="ref-callaway2021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48">
        <w:r>
          <w:rPr>
            <w:rStyle w:val="Hyperlink"/>
          </w:rPr>
          <w:t xml:space="preserve">10.1016/j.jeconom.2020.12.001</w:t>
        </w:r>
      </w:hyperlink>
    </w:p>
    <w:bookmarkEnd w:id="149"/>
    <w:bookmarkStart w:id="151" w:name="ref-roth2022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50">
        <w:r>
          <w:rPr>
            <w:rStyle w:val="Hyperlink"/>
          </w:rPr>
          <w:t xml:space="preserve">10.1257/aeri.20210236</w:t>
        </w:r>
      </w:hyperlink>
    </w:p>
    <w:bookmarkEnd w:id="151"/>
    <w:bookmarkStart w:id="153" w:name="ref-lakens2017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52">
        <w:r>
          <w:rPr>
            <w:rStyle w:val="Hyperlink"/>
          </w:rPr>
          <w:t xml:space="preserve">10.1177/1948550617697177</w:t>
        </w:r>
      </w:hyperlink>
    </w:p>
    <w:bookmarkEnd w:id="153"/>
    <w:bookmarkStart w:id="155" w:name="ref-rambachan2023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54">
        <w:r>
          <w:rPr>
            <w:rStyle w:val="Hyperlink"/>
          </w:rPr>
          <w:t xml:space="preserve">10.1093/restud/rdad018</w:t>
        </w:r>
      </w:hyperlink>
    </w:p>
    <w:bookmarkEnd w:id="155"/>
    <w:bookmarkStart w:id="157" w:name="ref-rosenbaum1983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56">
        <w:r>
          <w:rPr>
            <w:rStyle w:val="Hyperlink"/>
          </w:rPr>
          <w:t xml:space="preserve">10.1093/biomet/70.1.41</w:t>
        </w:r>
      </w:hyperlink>
    </w:p>
    <w:bookmarkEnd w:id="157"/>
    <w:bookmarkStart w:id="159" w:name="ref-welch1947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58">
        <w:r>
          <w:rPr>
            <w:rStyle w:val="Hyperlink"/>
          </w:rPr>
          <w:t xml:space="preserve">10.1093/biomet/34.1-2.28</w:t>
        </w:r>
      </w:hyperlink>
    </w:p>
    <w:bookmarkEnd w:id="159"/>
    <w:bookmarkStart w:id="161" w:name="ref-mackinnon1985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60">
        <w:r>
          <w:rPr>
            <w:rStyle w:val="Hyperlink"/>
          </w:rPr>
          <w:t xml:space="preserve">10.1016/0304-4076(85)90158-7</w:t>
        </w:r>
      </w:hyperlink>
    </w:p>
    <w:bookmarkEnd w:id="161"/>
    <w:bookmarkStart w:id="163" w:name="ref-statsmodels2010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62">
        <w:r>
          <w:rPr>
            <w:rStyle w:val="Hyperlink"/>
          </w:rPr>
          <w:t xml:space="preserve">10.25080/majora-92bf1922-011</w:t>
        </w:r>
      </w:hyperlink>
    </w:p>
    <w:bookmarkEnd w:id="163"/>
    <w:bookmarkStart w:id="165" w:name="ref-dbt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</w:t>
      </w:r>
      <w:r>
        <w:t xml:space="preserve"> </w:t>
      </w:r>
      <w:hyperlink r:id="rId164">
        <w:r>
          <w:rPr>
            <w:rStyle w:val="Hyperlink"/>
          </w:rPr>
          <w:t xml:space="preserve">https://github.com/dbt-labs/dbt-core</w:t>
        </w:r>
      </w:hyperlink>
    </w:p>
    <w:bookmarkEnd w:id="165"/>
    <w:bookmarkStart w:id="167" w:name="ref-duckdb2019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66">
        <w:r>
          <w:rPr>
            <w:rStyle w:val="Hyperlink"/>
          </w:rPr>
          <w:t xml:space="preserve">10.1145/3299869.3320212</w:t>
        </w:r>
      </w:hyperlink>
    </w:p>
    <w:bookmarkEnd w:id="167"/>
    <w:bookmarkStart w:id="169" w:name="ref-uv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</w:t>
      </w:r>
      <w:r>
        <w:t xml:space="preserve"> </w:t>
      </w:r>
      <w:hyperlink r:id="rId168">
        <w:r>
          <w:rPr>
            <w:rStyle w:val="Hyperlink"/>
          </w:rPr>
          <w:t xml:space="preserve">https://github.com/astral-sh/uv</w:t>
        </w:r>
      </w:hyperlink>
    </w:p>
    <w:bookmarkEnd w:id="169"/>
    <w:bookmarkStart w:id="171" w:name="ref-arviz2019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70">
        <w:r>
          <w:rPr>
            <w:rStyle w:val="Hyperlink"/>
          </w:rPr>
          <w:t xml:space="preserve">10.21105/joss.01143</w:t>
        </w:r>
      </w:hyperlink>
    </w:p>
    <w:bookmarkEnd w:id="171"/>
    <w:bookmarkStart w:id="173" w:name="ref-numpy2020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72">
        <w:r>
          <w:rPr>
            <w:rStyle w:val="Hyperlink"/>
          </w:rPr>
          <w:t xml:space="preserve">10.1038/s41586-020-2649-2</w:t>
        </w:r>
      </w:hyperlink>
    </w:p>
    <w:bookmarkEnd w:id="173"/>
    <w:bookmarkStart w:id="175" w:name="ref-cfr46102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US Department of Health and Human Services. 45</w:t>
      </w:r>
      <w:r>
        <w:t xml:space="preserve"> </w:t>
      </w:r>
      <w:r>
        <w:t xml:space="preserve">CFR</w:t>
      </w:r>
      <w:r>
        <w:t xml:space="preserve"> </w:t>
      </w:r>
      <w:r>
        <w:t xml:space="preserve">46.102:</w:t>
      </w:r>
      <w:r>
        <w:t xml:space="preserve"> </w:t>
      </w:r>
      <w:r>
        <w:t xml:space="preserve">Definitions</w:t>
      </w:r>
      <w:r>
        <w:t xml:space="preserve"> </w:t>
      </w:r>
      <w:r>
        <w:t xml:space="preserve">for purposes of this policy. Published online 2026.</w:t>
      </w:r>
      <w:r>
        <w:t xml:space="preserve"> </w:t>
      </w:r>
      <w:hyperlink r:id="rId174">
        <w:r>
          <w:rPr>
            <w:rStyle w:val="Hyperlink"/>
          </w:rPr>
          <w:t xml:space="preserve">https://www.ecfr.gov/on/2026-10-01/title-45/subtitle-A/subchapter-A/part-46/subpart-A/section-46.102#p-46.102%28e%29%281%29</w:t>
        </w:r>
      </w:hyperlink>
    </w:p>
    <w:bookmarkEnd w:id="175"/>
    <w:bookmarkStart w:id="177" w:name="ref-gelmancarlin2014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76">
        <w:r>
          <w:rPr>
            <w:rStyle w:val="Hyperlink"/>
          </w:rPr>
          <w:t xml:space="preserve">10.1177/1745691614551642</w:t>
        </w:r>
      </w:hyperlink>
    </w:p>
    <w:bookmarkEnd w:id="177"/>
    <w:bookmarkStart w:id="179" w:name="ref-cfr2024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</w:t>
      </w:r>
      <w:r>
        <w:t xml:space="preserve"> </w:t>
      </w:r>
      <w:hyperlink r:id="rId178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79"/>
    <w:bookmarkStart w:id="181" w:name="ref-aha2021"/>
    <w:p>
      <w:pPr>
        <w:pStyle w:val="Bibliography"/>
      </w:pPr>
      <w:r>
        <w:t xml:space="preserve">60.</w:t>
      </w:r>
      <w:r>
        <w:t xml:space="preserve"> </w:t>
      </w:r>
      <w:r>
        <w:t xml:space="preserve">	</w:t>
      </w:r>
      <w:r>
        <w:t xml:space="preserve">American Hospital Association, National Association of ACOs, et al.</w:t>
      </w:r>
      <w:r>
        <w:t xml:space="preserve"> Letter to</w:t>
      </w:r>
      <w:r>
        <w:t xml:space="preserve"> </w:t>
      </w:r>
      <w:r>
        <w:t xml:space="preserve">CMS</w:t>
      </w:r>
      <w:r>
        <w:t xml:space="preserve">: Request to provide</w:t>
      </w:r>
      <w:r>
        <w:t xml:space="preserve"> </w:t>
      </w:r>
      <w:r>
        <w:t xml:space="preserve">MSSP</w:t>
      </w:r>
      <w:r>
        <w:t xml:space="preserve"> </w:t>
      </w:r>
      <w:r>
        <w:t xml:space="preserve">ACOs</w:t>
      </w:r>
      <w:r>
        <w:t xml:space="preserve"> </w:t>
      </w:r>
      <w:r>
        <w:t xml:space="preserve">an option to use pre-pandemic years to set benchmarks. Published online 2021.</w:t>
      </w:r>
      <w:r>
        <w:t xml:space="preserve"> </w:t>
      </w:r>
      <w:hyperlink r:id="rId180">
        <w:r>
          <w:rPr>
            <w:rStyle w:val="Hyperlink"/>
          </w:rPr>
          <w:t xml:space="preserve">https://www.aha.org/lettercomment/2021-10-14-aha-others-cms-re-request-provide-mssp-acos-option-use-pre-pandemic-years</w:t>
        </w:r>
      </w:hyperlink>
    </w:p>
    <w:bookmarkEnd w:id="181"/>
    <w:bookmarkStart w:id="183" w:name="ref-paperrepo"/>
    <w:p>
      <w:pPr>
        <w:pStyle w:val="Bibliography"/>
      </w:pPr>
      <w:r>
        <w:t xml:space="preserve">61.</w:t>
      </w:r>
      <w:r>
        <w:t xml:space="preserve"> </w:t>
      </w:r>
      <w:r>
        <w:t xml:space="preserve">	</w:t>
      </w:r>
      <w:r>
        <w:t xml:space="preserve">Harrold ST. Manuscript repository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study: Text, generated tables and figures, and committed results files. Published online 2026.</w:t>
      </w:r>
      <w:r>
        <w:t xml:space="preserve"> </w:t>
      </w:r>
      <w:hyperlink r:id="rId182">
        <w:r>
          <w:rPr>
            <w:rStyle w:val="Hyperlink"/>
          </w:rPr>
          <w:t xml:space="preserve">https://github.com/stharrold/mssp-paper-2026</w:t>
        </w:r>
      </w:hyperlink>
    </w:p>
    <w:bookmarkEnd w:id="183"/>
    <w:bookmarkStart w:id="185" w:name="ref-post"/>
    <w:p>
      <w:pPr>
        <w:pStyle w:val="Bibliography"/>
      </w:pPr>
      <w:r>
        <w:t xml:space="preserve">62.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</w:t>
      </w:r>
      <w:r>
        <w:t xml:space="preserve"> </w:t>
      </w:r>
      <w:hyperlink r:id="rId184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hyperlink" Id="rId105" Target="https://data.cms.gov/medicare-shared-savings-program/accountable-care-organizations" TargetMode="External" /><Relationship Type="http://schemas.openxmlformats.org/officeDocument/2006/relationships/hyperlink" Id="rId118" Target="https://data.cms.gov/medicare-shared-savings-program/county-level-aggregate-expenditure-and-risk-score-data-on-assignable-beneficiaries" TargetMode="External" /><Relationship Type="http://schemas.openxmlformats.org/officeDocument/2006/relationships/hyperlink" Id="rId120" Target="https://data.cms.gov/medicare-shared-savings-program/number-of-accountable-care-organization-assigned-beneficiaries-by-county" TargetMode="External" /><Relationship Type="http://schemas.openxmlformats.org/officeDocument/2006/relationships/hyperlink" Id="rId116" Target="https://data.cms.gov/medicare-shared-savings-program/performance-year-financial-and-quality-results" TargetMode="External" /><Relationship Type="http://schemas.openxmlformats.org/officeDocument/2006/relationships/hyperlink" Id="rId71" Target="https://doi.org/10.1001/jama.2025.3870" TargetMode="External" /><Relationship Type="http://schemas.openxmlformats.org/officeDocument/2006/relationships/hyperlink" Id="rId89" Target="https://doi.org/10.1001/jamanetworkopen.2026.0166" TargetMode="External" /><Relationship Type="http://schemas.openxmlformats.org/officeDocument/2006/relationships/hyperlink" Id="rId138" Target="https://doi.org/10.1002/sim.3107" TargetMode="External" /><Relationship Type="http://schemas.openxmlformats.org/officeDocument/2006/relationships/hyperlink" Id="rId99" Target="https://doi.org/10.1007/s11606-020-06424-7" TargetMode="External" /><Relationship Type="http://schemas.openxmlformats.org/officeDocument/2006/relationships/hyperlink" Id="rId95" Target="https://doi.org/10.1007/s11606-022-07947-x" TargetMode="External" /><Relationship Type="http://schemas.openxmlformats.org/officeDocument/2006/relationships/hyperlink" Id="rId160" Target="https://doi.org/10.1016/0304-4076(85)90158-7" TargetMode="External" /><Relationship Type="http://schemas.openxmlformats.org/officeDocument/2006/relationships/hyperlink" Id="rId148" Target="https://doi.org/10.1016/j.jeconom.2020.12.001" TargetMode="External" /><Relationship Type="http://schemas.openxmlformats.org/officeDocument/2006/relationships/hyperlink" Id="rId172" Target="https://doi.org/10.1038/s41586-020-2649-2" TargetMode="External" /><Relationship Type="http://schemas.openxmlformats.org/officeDocument/2006/relationships/hyperlink" Id="rId67" Target="https://doi.org/10.1056/nejmsa1600142" TargetMode="External" /><Relationship Type="http://schemas.openxmlformats.org/officeDocument/2006/relationships/hyperlink" Id="rId69" Target="https://doi.org/10.1056/nejmsa1803388" TargetMode="External" /><Relationship Type="http://schemas.openxmlformats.org/officeDocument/2006/relationships/hyperlink" Id="rId87" Target="https://doi.org/10.1086/726748" TargetMode="External" /><Relationship Type="http://schemas.openxmlformats.org/officeDocument/2006/relationships/hyperlink" Id="rId158" Target="https://doi.org/10.1093/biomet/34.1-2.28" TargetMode="External" /><Relationship Type="http://schemas.openxmlformats.org/officeDocument/2006/relationships/hyperlink" Id="rId156" Target="https://doi.org/10.1093/biomet/70.1.41" TargetMode="External" /><Relationship Type="http://schemas.openxmlformats.org/officeDocument/2006/relationships/hyperlink" Id="rId142" Target="https://doi.org/10.1093/biomet/80.1.27" TargetMode="External" /><Relationship Type="http://schemas.openxmlformats.org/officeDocument/2006/relationships/hyperlink" Id="rId97" Target="https://doi.org/10.1093/haschl/qxad093" TargetMode="External" /><Relationship Type="http://schemas.openxmlformats.org/officeDocument/2006/relationships/hyperlink" Id="rId154" Target="https://doi.org/10.1093/restud/rdad018" TargetMode="External" /><Relationship Type="http://schemas.openxmlformats.org/officeDocument/2006/relationships/hyperlink" Id="rId73" Target="https://doi.org/10.1111/1468-0009.12468" TargetMode="External" /><Relationship Type="http://schemas.openxmlformats.org/officeDocument/2006/relationships/hyperlink" Id="rId93" Target="https://doi.org/10.1111/jrh.12672" TargetMode="External" /><Relationship Type="http://schemas.openxmlformats.org/officeDocument/2006/relationships/hyperlink" Id="rId166" Target="https://doi.org/10.1145/3299869.3320212" TargetMode="External" /><Relationship Type="http://schemas.openxmlformats.org/officeDocument/2006/relationships/hyperlink" Id="rId176" Target="https://doi.org/10.1177/1745691614551642" TargetMode="External" /><Relationship Type="http://schemas.openxmlformats.org/officeDocument/2006/relationships/hyperlink" Id="rId152" Target="https://doi.org/10.1177/1948550617697177" TargetMode="External" /><Relationship Type="http://schemas.openxmlformats.org/officeDocument/2006/relationships/hyperlink" Id="rId146" Target="https://doi.org/10.1214/08-aoas191" TargetMode="External" /><Relationship Type="http://schemas.openxmlformats.org/officeDocument/2006/relationships/hyperlink" Id="rId140" Target="https://doi.org/10.1214/20-ba1221" TargetMode="External" /><Relationship Type="http://schemas.openxmlformats.org/officeDocument/2006/relationships/hyperlink" Id="rId130" Target="https://doi.org/10.1214/aos/1176345338" TargetMode="External" /><Relationship Type="http://schemas.openxmlformats.org/officeDocument/2006/relationships/hyperlink" Id="rId150" Target="https://doi.org/10.1257/aeri.20210236" TargetMode="External" /><Relationship Type="http://schemas.openxmlformats.org/officeDocument/2006/relationships/hyperlink" Id="rId112" Target="https://doi.org/10.1371/journal.pmed.0040296" TargetMode="External" /><Relationship Type="http://schemas.openxmlformats.org/officeDocument/2006/relationships/hyperlink" Id="rId79" Target="https://doi.org/10.1377/hlthaff.2014.0444" TargetMode="External" /><Relationship Type="http://schemas.openxmlformats.org/officeDocument/2006/relationships/hyperlink" Id="rId81" Target="https://doi.org/10.1377/hlthaff.2015.1026" TargetMode="External" /><Relationship Type="http://schemas.openxmlformats.org/officeDocument/2006/relationships/hyperlink" Id="rId91" Target="https://doi.org/10.1377/hlthaff.2018.05097" TargetMode="External" /><Relationship Type="http://schemas.openxmlformats.org/officeDocument/2006/relationships/hyperlink" Id="rId77" Target="https://doi.org/10.1377/hlthaff.2018.05407" TargetMode="External" /><Relationship Type="http://schemas.openxmlformats.org/officeDocument/2006/relationships/hyperlink" Id="rId101" Target="https://doi.org/10.1377/hlthaff.2020.01819" TargetMode="External" /><Relationship Type="http://schemas.openxmlformats.org/officeDocument/2006/relationships/hyperlink" Id="rId85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2" Target="https://doi.org/10.17605/OSF.IO/Z4AN5" TargetMode="External" /><Relationship Type="http://schemas.openxmlformats.org/officeDocument/2006/relationships/hyperlink" Id="rId170" Target="https://doi.org/10.21105/joss.01143" TargetMode="External" /><Relationship Type="http://schemas.openxmlformats.org/officeDocument/2006/relationships/hyperlink" Id="rId132" Target="https://doi.org/10.2202/1544-6115.1585" TargetMode="External" /><Relationship Type="http://schemas.openxmlformats.org/officeDocument/2006/relationships/hyperlink" Id="rId162" Target="https://doi.org/10.25080/majora-92bf1922-011" TargetMode="External" /><Relationship Type="http://schemas.openxmlformats.org/officeDocument/2006/relationships/hyperlink" Id="rId75" Target="https://doi.org/10.7326/m18-2539" TargetMode="External" /><Relationship Type="http://schemas.openxmlformats.org/officeDocument/2006/relationships/hyperlink" Id="rId134" Target="https://doi.org/10.7717/peerj-cs.1516" TargetMode="External" /><Relationship Type="http://schemas.openxmlformats.org/officeDocument/2006/relationships/hyperlink" Id="rId109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68" Target="https://github.com/astral-sh/uv" TargetMode="External" /><Relationship Type="http://schemas.openxmlformats.org/officeDocument/2006/relationships/hyperlink" Id="rId164" Target="https://github.com/dbt-labs/dbt-core" TargetMode="External" /><Relationship Type="http://schemas.openxmlformats.org/officeDocument/2006/relationships/hyperlink" Id="rId144" Target="https://github.com/jzluo/firthmodels" TargetMode="External" /><Relationship Type="http://schemas.openxmlformats.org/officeDocument/2006/relationships/hyperlink" Id="rId182" Target="https://github.com/stharrold/mssp-paper-2026" TargetMode="External" /><Relationship Type="http://schemas.openxmlformats.org/officeDocument/2006/relationships/hyperlink" Id="rId114" Target="https://github.com/stharrold/stharrold.github.io/tree/a4064f592a492d971ce3c27e95afb3050e6bc01d/analysis/mssp-benchmark-ratchet" TargetMode="External" /><Relationship Type="http://schemas.openxmlformats.org/officeDocument/2006/relationships/hyperlink" Id="rId136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84" Target="https://stharrold.github.io/20261027-preregistered-mssp-early-renewal.html" TargetMode="External" /><Relationship Type="http://schemas.openxmlformats.org/officeDocument/2006/relationships/hyperlink" Id="rId124" Target="https://web.archive.org/web/20250516214605/https://www.hhs.gov/guidance/document/cms-cell-suppression-policy" TargetMode="External" /><Relationship Type="http://schemas.openxmlformats.org/officeDocument/2006/relationships/hyperlink" Id="rId180" Target="https://www.aha.org/lettercomment/2021-10-14-aha-others-cms-re-request-provide-mssp-acos-option-use-pre-pandemic-years" TargetMode="External" /><Relationship Type="http://schemas.openxmlformats.org/officeDocument/2006/relationships/hyperlink" Id="rId126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28" Target="https://www.ecfr.gov/on/2022-01-01/title-42/chapter-IV/subchapter-B/part-425/subpart-G/section-425.600#p-425.600%28d%29" TargetMode="External" /><Relationship Type="http://schemas.openxmlformats.org/officeDocument/2006/relationships/hyperlink" Id="rId65" Target="https://www.ecfr.gov/on/2022-01-01/title-42/chapter-IV/subchapter-B/part-425/subpart-G/section-425.601" TargetMode="External" /><Relationship Type="http://schemas.openxmlformats.org/officeDocument/2006/relationships/hyperlink" Id="rId178" Target="https://www.ecfr.gov/on/2024-01-01/title-42/chapter-IV/subchapter-B/part-425/subpart-G/section-425.652" TargetMode="External" /><Relationship Type="http://schemas.openxmlformats.org/officeDocument/2006/relationships/hyperlink" Id="rId174" Target="https://www.ecfr.gov/on/2026-10-01/title-45/subtitle-A/subchapter-A/part-46/subpart-A/section-46.102#p-46.102%28e%29%281%29" TargetMode="External" /><Relationship Type="http://schemas.openxmlformats.org/officeDocument/2006/relationships/hyperlink" Id="rId103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7" Target="https://www.milliman.com/-/media/milliman/pdfs/2024-articles/4-2-24_medicare_shared_savings_program_aco_financial_results_for_2022.ashx" TargetMode="External" /><Relationship Type="http://schemas.openxmlformats.org/officeDocument/2006/relationships/hyperlink" Id="rId83" Target="https://www.proquest.com/openview/92b6e8f86c7ba39e2ba879d91063898b/1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data.cms.gov/medicare-shared-savings-program/accountable-care-organizations" TargetMode="External" /><Relationship Type="http://schemas.openxmlformats.org/officeDocument/2006/relationships/hyperlink" Id="rId118" Target="https://data.cms.gov/medicare-shared-savings-program/county-level-aggregate-expenditure-and-risk-score-data-on-assignable-beneficiaries" TargetMode="External" /><Relationship Type="http://schemas.openxmlformats.org/officeDocument/2006/relationships/hyperlink" Id="rId120" Target="https://data.cms.gov/medicare-shared-savings-program/number-of-accountable-care-organization-assigned-beneficiaries-by-county" TargetMode="External" /><Relationship Type="http://schemas.openxmlformats.org/officeDocument/2006/relationships/hyperlink" Id="rId116" Target="https://data.cms.gov/medicare-shared-savings-program/performance-year-financial-and-quality-results" TargetMode="External" /><Relationship Type="http://schemas.openxmlformats.org/officeDocument/2006/relationships/hyperlink" Id="rId71" Target="https://doi.org/10.1001/jama.2025.3870" TargetMode="External" /><Relationship Type="http://schemas.openxmlformats.org/officeDocument/2006/relationships/hyperlink" Id="rId89" Target="https://doi.org/10.1001/jamanetworkopen.2026.0166" TargetMode="External" /><Relationship Type="http://schemas.openxmlformats.org/officeDocument/2006/relationships/hyperlink" Id="rId138" Target="https://doi.org/10.1002/sim.3107" TargetMode="External" /><Relationship Type="http://schemas.openxmlformats.org/officeDocument/2006/relationships/hyperlink" Id="rId99" Target="https://doi.org/10.1007/s11606-020-06424-7" TargetMode="External" /><Relationship Type="http://schemas.openxmlformats.org/officeDocument/2006/relationships/hyperlink" Id="rId95" Target="https://doi.org/10.1007/s11606-022-07947-x" TargetMode="External" /><Relationship Type="http://schemas.openxmlformats.org/officeDocument/2006/relationships/hyperlink" Id="rId160" Target="https://doi.org/10.1016/0304-4076(85)90158-7" TargetMode="External" /><Relationship Type="http://schemas.openxmlformats.org/officeDocument/2006/relationships/hyperlink" Id="rId148" Target="https://doi.org/10.1016/j.jeconom.2020.12.001" TargetMode="External" /><Relationship Type="http://schemas.openxmlformats.org/officeDocument/2006/relationships/hyperlink" Id="rId172" Target="https://doi.org/10.1038/s41586-020-2649-2" TargetMode="External" /><Relationship Type="http://schemas.openxmlformats.org/officeDocument/2006/relationships/hyperlink" Id="rId67" Target="https://doi.org/10.1056/nejmsa1600142" TargetMode="External" /><Relationship Type="http://schemas.openxmlformats.org/officeDocument/2006/relationships/hyperlink" Id="rId69" Target="https://doi.org/10.1056/nejmsa1803388" TargetMode="External" /><Relationship Type="http://schemas.openxmlformats.org/officeDocument/2006/relationships/hyperlink" Id="rId87" Target="https://doi.org/10.1086/726748" TargetMode="External" /><Relationship Type="http://schemas.openxmlformats.org/officeDocument/2006/relationships/hyperlink" Id="rId158" Target="https://doi.org/10.1093/biomet/34.1-2.28" TargetMode="External" /><Relationship Type="http://schemas.openxmlformats.org/officeDocument/2006/relationships/hyperlink" Id="rId156" Target="https://doi.org/10.1093/biomet/70.1.41" TargetMode="External" /><Relationship Type="http://schemas.openxmlformats.org/officeDocument/2006/relationships/hyperlink" Id="rId142" Target="https://doi.org/10.1093/biomet/80.1.27" TargetMode="External" /><Relationship Type="http://schemas.openxmlformats.org/officeDocument/2006/relationships/hyperlink" Id="rId97" Target="https://doi.org/10.1093/haschl/qxad093" TargetMode="External" /><Relationship Type="http://schemas.openxmlformats.org/officeDocument/2006/relationships/hyperlink" Id="rId154" Target="https://doi.org/10.1093/restud/rdad018" TargetMode="External" /><Relationship Type="http://schemas.openxmlformats.org/officeDocument/2006/relationships/hyperlink" Id="rId73" Target="https://doi.org/10.1111/1468-0009.12468" TargetMode="External" /><Relationship Type="http://schemas.openxmlformats.org/officeDocument/2006/relationships/hyperlink" Id="rId93" Target="https://doi.org/10.1111/jrh.12672" TargetMode="External" /><Relationship Type="http://schemas.openxmlformats.org/officeDocument/2006/relationships/hyperlink" Id="rId166" Target="https://doi.org/10.1145/3299869.3320212" TargetMode="External" /><Relationship Type="http://schemas.openxmlformats.org/officeDocument/2006/relationships/hyperlink" Id="rId176" Target="https://doi.org/10.1177/1745691614551642" TargetMode="External" /><Relationship Type="http://schemas.openxmlformats.org/officeDocument/2006/relationships/hyperlink" Id="rId152" Target="https://doi.org/10.1177/1948550617697177" TargetMode="External" /><Relationship Type="http://schemas.openxmlformats.org/officeDocument/2006/relationships/hyperlink" Id="rId146" Target="https://doi.org/10.1214/08-aoas191" TargetMode="External" /><Relationship Type="http://schemas.openxmlformats.org/officeDocument/2006/relationships/hyperlink" Id="rId140" Target="https://doi.org/10.1214/20-ba1221" TargetMode="External" /><Relationship Type="http://schemas.openxmlformats.org/officeDocument/2006/relationships/hyperlink" Id="rId130" Target="https://doi.org/10.1214/aos/1176345338" TargetMode="External" /><Relationship Type="http://schemas.openxmlformats.org/officeDocument/2006/relationships/hyperlink" Id="rId150" Target="https://doi.org/10.1257/aeri.20210236" TargetMode="External" /><Relationship Type="http://schemas.openxmlformats.org/officeDocument/2006/relationships/hyperlink" Id="rId112" Target="https://doi.org/10.1371/journal.pmed.0040296" TargetMode="External" /><Relationship Type="http://schemas.openxmlformats.org/officeDocument/2006/relationships/hyperlink" Id="rId79" Target="https://doi.org/10.1377/hlthaff.2014.0444" TargetMode="External" /><Relationship Type="http://schemas.openxmlformats.org/officeDocument/2006/relationships/hyperlink" Id="rId81" Target="https://doi.org/10.1377/hlthaff.2015.1026" TargetMode="External" /><Relationship Type="http://schemas.openxmlformats.org/officeDocument/2006/relationships/hyperlink" Id="rId91" Target="https://doi.org/10.1377/hlthaff.2018.05097" TargetMode="External" /><Relationship Type="http://schemas.openxmlformats.org/officeDocument/2006/relationships/hyperlink" Id="rId77" Target="https://doi.org/10.1377/hlthaff.2018.05407" TargetMode="External" /><Relationship Type="http://schemas.openxmlformats.org/officeDocument/2006/relationships/hyperlink" Id="rId101" Target="https://doi.org/10.1377/hlthaff.2020.01819" TargetMode="External" /><Relationship Type="http://schemas.openxmlformats.org/officeDocument/2006/relationships/hyperlink" Id="rId85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2" Target="https://doi.org/10.17605/OSF.IO/Z4AN5" TargetMode="External" /><Relationship Type="http://schemas.openxmlformats.org/officeDocument/2006/relationships/hyperlink" Id="rId170" Target="https://doi.org/10.21105/joss.01143" TargetMode="External" /><Relationship Type="http://schemas.openxmlformats.org/officeDocument/2006/relationships/hyperlink" Id="rId132" Target="https://doi.org/10.2202/1544-6115.1585" TargetMode="External" /><Relationship Type="http://schemas.openxmlformats.org/officeDocument/2006/relationships/hyperlink" Id="rId162" Target="https://doi.org/10.25080/majora-92bf1922-011" TargetMode="External" /><Relationship Type="http://schemas.openxmlformats.org/officeDocument/2006/relationships/hyperlink" Id="rId75" Target="https://doi.org/10.7326/m18-2539" TargetMode="External" /><Relationship Type="http://schemas.openxmlformats.org/officeDocument/2006/relationships/hyperlink" Id="rId134" Target="https://doi.org/10.7717/peerj-cs.1516" TargetMode="External" /><Relationship Type="http://schemas.openxmlformats.org/officeDocument/2006/relationships/hyperlink" Id="rId109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68" Target="https://github.com/astral-sh/uv" TargetMode="External" /><Relationship Type="http://schemas.openxmlformats.org/officeDocument/2006/relationships/hyperlink" Id="rId164" Target="https://github.com/dbt-labs/dbt-core" TargetMode="External" /><Relationship Type="http://schemas.openxmlformats.org/officeDocument/2006/relationships/hyperlink" Id="rId144" Target="https://github.com/jzluo/firthmodels" TargetMode="External" /><Relationship Type="http://schemas.openxmlformats.org/officeDocument/2006/relationships/hyperlink" Id="rId182" Target="https://github.com/stharrold/mssp-paper-2026" TargetMode="External" /><Relationship Type="http://schemas.openxmlformats.org/officeDocument/2006/relationships/hyperlink" Id="rId114" Target="https://github.com/stharrold/stharrold.github.io/tree/a4064f592a492d971ce3c27e95afb3050e6bc01d/analysis/mssp-benchmark-ratchet" TargetMode="External" /><Relationship Type="http://schemas.openxmlformats.org/officeDocument/2006/relationships/hyperlink" Id="rId136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84" Target="https://stharrold.github.io/20261027-preregistered-mssp-early-renewal.html" TargetMode="External" /><Relationship Type="http://schemas.openxmlformats.org/officeDocument/2006/relationships/hyperlink" Id="rId124" Target="https://web.archive.org/web/20250516214605/https://www.hhs.gov/guidance/document/cms-cell-suppression-policy" TargetMode="External" /><Relationship Type="http://schemas.openxmlformats.org/officeDocument/2006/relationships/hyperlink" Id="rId180" Target="https://www.aha.org/lettercomment/2021-10-14-aha-others-cms-re-request-provide-mssp-acos-option-use-pre-pandemic-years" TargetMode="External" /><Relationship Type="http://schemas.openxmlformats.org/officeDocument/2006/relationships/hyperlink" Id="rId126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28" Target="https://www.ecfr.gov/on/2022-01-01/title-42/chapter-IV/subchapter-B/part-425/subpart-G/section-425.600#p-425.600%28d%29" TargetMode="External" /><Relationship Type="http://schemas.openxmlformats.org/officeDocument/2006/relationships/hyperlink" Id="rId65" Target="https://www.ecfr.gov/on/2022-01-01/title-42/chapter-IV/subchapter-B/part-425/subpart-G/section-425.601" TargetMode="External" /><Relationship Type="http://schemas.openxmlformats.org/officeDocument/2006/relationships/hyperlink" Id="rId178" Target="https://www.ecfr.gov/on/2024-01-01/title-42/chapter-IV/subchapter-B/part-425/subpart-G/section-425.652" TargetMode="External" /><Relationship Type="http://schemas.openxmlformats.org/officeDocument/2006/relationships/hyperlink" Id="rId174" Target="https://www.ecfr.gov/on/2026-10-01/title-45/subtitle-A/subchapter-A/part-46/subpart-A/section-46.102#p-46.102%28e%29%281%29" TargetMode="External" /><Relationship Type="http://schemas.openxmlformats.org/officeDocument/2006/relationships/hyperlink" Id="rId103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7" Target="https://www.milliman.com/-/media/milliman/pdfs/2024-articles/4-2-24_medicare_shared_savings_program_aco_financial_results_for_2022.ashx" TargetMode="External" /><Relationship Type="http://schemas.openxmlformats.org/officeDocument/2006/relationships/hyperlink" Id="rId83" Target="https://www.proquest.com/openview/92b6e8f86c7ba39e2ba879d91063898b/1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2026-10-28T14:41:44Z</dcterms:created>
  <dcterms:modified xsi:type="dcterms:W3CDTF">2026-10-28T14:41:44Z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