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 1. Early Renewal of Accountable Care Organization Agreements to Reset Benchmarks in the Medicare Shared Savings Program: Preregistered Retrospective Cohort Study</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eTable 12. Post hoc checks against CMS’s published 2022 benchmarks (not registered)</w:t>
      </w:r>
    </w:p>
    <w:p>
      <w:pPr>
        <w:pStyle w:val="Compact"/>
        <w:numPr>
          <w:ilvl w:val="0"/>
          <w:numId w:val="1001"/>
        </w:numPr>
      </w:pPr>
      <w:r>
        <w:t xml:space="preserve">eMethods. Registration record (eTable 13) and deviations</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12. Post hoc checks of the expected gain against CMS’s published 2022 benchmarks</w:t>
      </w:r>
    </w:p>
    <w:tbl>
      <w:tblPr>
        <w:tblStyle w:val="Table"/>
        <w:tblW w:type="pct" w:w="5000"/>
        <w:tblLayout w:type="fixed"/>
        <w:tblLook w:firstRow="1" w:lastRow="0" w:firstColumn="0" w:lastColumn="0" w:noHBand="0" w:noVBand="0" w:val="0020"/>
        <w:tblCaption w:val="eTable 12. Post hoc checks of the expected gain against CMS’s published 2022 benchmarks"/>
      </w:tblPr>
      <w:tblGrid>
        <w:gridCol w:w="2640"/>
        <w:gridCol w:w="837"/>
        <w:gridCol w:w="837"/>
        <w:gridCol w:w="837"/>
        <w:gridCol w:w="837"/>
        <w:gridCol w:w="837"/>
        <w:gridCol w:w="1094"/>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 </w:t>
      </w:r>
      <w:r>
        <w:t xml:space="preserve">= .97).</w:t>
      </w:r>
    </w:p>
    <w:bookmarkStart w:id="10" w:name="Xbb380d809b2723f99c0f38291f5ada62d815562"/>
    <w:p>
      <w:pPr>
        <w:pStyle w:val="Heading1"/>
      </w:pPr>
      <w:r>
        <w:t xml:space="preserve">eMethods. Registration record and deviations</w:t>
      </w:r>
    </w:p>
    <w:p>
      <w:pPr>
        <w:pStyle w:val="TableCaption"/>
      </w:pPr>
      <w:r>
        <w:t xml:space="preserve">eTable 13. Registration record</w:t>
      </w:r>
    </w:p>
    <w:tbl>
      <w:tblPr>
        <w:tblStyle w:val="Table"/>
        <w:tblW w:type="pct" w:w="5000"/>
        <w:tblLayout w:type="fixed"/>
        <w:tblLook w:firstRow="1" w:lastRow="0" w:firstColumn="0" w:lastColumn="0" w:noHBand="0" w:noVBand="0" w:val="0020"/>
        <w:tblCaption w:val="eTable 13.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8" w:name="references"/>
    <w:p>
      <w:pPr>
        <w:pStyle w:val="Heading1"/>
      </w:pPr>
      <w:r>
        <w:t xml:space="preserve">References</w:t>
      </w:r>
    </w:p>
    <w:bookmarkStart w:id="17" w:name="refs"/>
    <w:bookmarkStart w:id="12"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1">
        <w:r>
          <w:rPr>
            <w:rStyle w:val="Hyperlink"/>
          </w:rPr>
          <w:t xml:space="preserve">10.17605/OSF.IO/C53W9</w:t>
        </w:r>
      </w:hyperlink>
    </w:p>
    <w:bookmarkEnd w:id="12"/>
    <w:bookmarkStart w:id="14"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3">
        <w:r>
          <w:rPr>
            <w:rStyle w:val="Hyperlink"/>
          </w:rPr>
          <w:t xml:space="preserve">10.17605/OSF.IO/Z4AN5</w:t>
        </w:r>
      </w:hyperlink>
    </w:p>
    <w:bookmarkEnd w:id="14"/>
    <w:bookmarkStart w:id="16"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5">
        <w:r>
          <w:rPr>
            <w:rStyle w:val="Hyperlink"/>
          </w:rPr>
          <w:t xml:space="preserve">https://www.federalregister.gov/documents/2018/12/31/2018-27981/medicare-program-medicare-shared-savings-program-accountable-care-organizations-pathways-to-success</w:t>
        </w:r>
      </w:hyperlink>
    </w:p>
    <w:bookmarkEnd w:id="16"/>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 1. Early Renewal of Accountable Care Organization Agreements to Reset Benchmarks in the Medicare Shared Savings Program: Preregistered Retrospective Cohort Study</dc:title>
  <dc:creator>Samuel Thomas Harrold</dc:creator>
  <dc:language>en-US</dc:language>
  <cp:keywords/>
  <dcterms:created xsi:type="dcterms:W3CDTF">2026-10-28T14:41:48Z</dcterms:created>
  <dcterms:modified xsi:type="dcterms:W3CDTF">2026-10-28T14:41:48Z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