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Additional file 2. 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Spending growth after early renewal (H4), with the pre-trend and robustness estimates</w:t>
      </w:r>
    </w:p>
    <w:p>
      <w:pPr>
        <w:pStyle w:val="Compact"/>
        <w:numPr>
          <w:ilvl w:val="0"/>
          <w:numId w:val="1001"/>
        </w:numPr>
      </w:pPr>
      <w:r>
        <w:t xml:space="preserve">eTable 9. Attrition from the H4 spending panel</w:t>
      </w:r>
    </w:p>
    <w:p>
      <w:pPr>
        <w:pStyle w:val="Compact"/>
        <w:numPr>
          <w:ilvl w:val="0"/>
          <w:numId w:val="1001"/>
        </w:numPr>
      </w:pPr>
      <w:r>
        <w:t xml:space="preserve">eTable 10. Exploratory analyses</w:t>
      </w:r>
    </w:p>
    <w:p>
      <w:pPr>
        <w:pStyle w:val="Compact"/>
        <w:numPr>
          <w:ilvl w:val="0"/>
          <w:numId w:val="1001"/>
        </w:numPr>
      </w:pPr>
      <w:r>
        <w:t xml:space="preserve">eTable 11. The 2 early renewers already in ENHANCED</w:t>
      </w:r>
    </w:p>
    <w:p>
      <w:pPr>
        <w:pStyle w:val="Compact"/>
        <w:numPr>
          <w:ilvl w:val="0"/>
          <w:numId w:val="1001"/>
        </w:numPr>
      </w:pPr>
      <w:r>
        <w:t xml:space="preserve">eTable 12. Per-capita spending by agreement year</w:t>
      </w:r>
    </w:p>
    <w:p>
      <w:pPr>
        <w:pStyle w:val="Compact"/>
        <w:numPr>
          <w:ilvl w:val="0"/>
          <w:numId w:val="1001"/>
        </w:numPr>
      </w:pPr>
      <w:r>
        <w:t xml:space="preserve">eTable 13. Post hoc checks against CMS’s published 2022 benchmarks and of the regional pull against past savings (not registered)</w:t>
      </w:r>
    </w:p>
    <w:p>
      <w:pPr>
        <w:pStyle w:val="Compact"/>
        <w:numPr>
          <w:ilvl w:val="0"/>
          <w:numId w:val="1001"/>
        </w:numPr>
      </w:pPr>
      <w:r>
        <w:t xml:space="preserve">eMethods. Registration record (eTable 14)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2915"/>
        <w:gridCol w:w="987"/>
        <w:gridCol w:w="1338"/>
        <w:gridCol w:w="1610"/>
        <w:gridCol w:w="910"/>
        <w:gridCol w:w="1600"/>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2336"/>
        <w:gridCol w:w="2967"/>
        <w:gridCol w:w="2076"/>
        <w:gridCol w:w="1981"/>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pct" w:w="5000"/>
        <w:tblLayout w:type="fixed"/>
        <w:tblLook w:firstRow="1" w:lastRow="0" w:firstColumn="0" w:lastColumn="0" w:noHBand="0" w:noVBand="0" w:val="0020"/>
        <w:tblCaption w:val="eTable 3. Robustness of the group comparisons"/>
      </w:tblPr>
      <w:tblGrid>
        <w:gridCol w:w="5203"/>
        <w:gridCol w:w="1560"/>
        <w:gridCol w:w="1687"/>
        <w:gridCol w:w="91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pct" w:w="5000"/>
        <w:tblLayout w:type="fixed"/>
        <w:tblLook w:firstRow="1" w:lastRow="0" w:firstColumn="0" w:lastColumn="0" w:noHBand="0" w:noVBand="0" w:val="0020"/>
        <w:tblCaption w:val="eTable 4. Robustness of the decision model (H3)"/>
      </w:tblPr>
      <w:tblGrid>
        <w:gridCol w:w="5013"/>
        <w:gridCol w:w="1690"/>
        <w:gridCol w:w="1877"/>
        <w:gridCol w:w="7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6807"/>
        <w:gridCol w:w="2553"/>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=.004</w:t>
            </w:r>
          </w:p>
        </w:tc>
      </w:tr>
    </w:tbl>
    <w:p/>
    <w:p>
      <w:pPr>
        <w:pStyle w:val="TableCaption"/>
      </w:pPr>
      <w:r>
        <w:t xml:space="preserve">eTable 6. Conventional (frequentist) counterparts</w:t>
      </w:r>
    </w:p>
    <w:tbl>
      <w:tblPr>
        <w:tblStyle w:val="Table"/>
        <w:tblW w:type="pct" w:w="5000"/>
        <w:tblLayout w:type="fixed"/>
        <w:tblLook w:firstRow="1" w:lastRow="0" w:firstColumn="0" w:lastColumn="0" w:noHBand="0" w:noVBand="0" w:val="0020"/>
        <w:tblCaption w:val="eTable 6. Conventional (frequentist) counterparts"/>
      </w:tblPr>
      <w:tblGrid>
        <w:gridCol w:w="3087"/>
        <w:gridCol w:w="2736"/>
        <w:gridCol w:w="1300"/>
        <w:gridCol w:w="1456"/>
        <w:gridCol w:w="781"/>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pct" w:w="5000"/>
        <w:tblLayout w:type="fixed"/>
        <w:tblLook w:firstRow="1" w:lastRow="0" w:firstColumn="0" w:lastColumn="0" w:noHBand="0" w:noVBand="0" w:val="0020"/>
        <w:tblCaption w:val="eTable 7. Agreement of registered and conventional verdicts"/>
      </w:tblPr>
      <w:tblGrid>
        <w:gridCol w:w="3375"/>
        <w:gridCol w:w="2418"/>
        <w:gridCol w:w="2657"/>
        <w:gridCol w:w="91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Spending growth after early renewal (H4), with the pre-trend and robustness estimates</w:t>
      </w:r>
    </w:p>
    <w:tbl>
      <w:tblPr>
        <w:tblStyle w:val="Table"/>
        <w:tblW w:type="pct" w:w="5000"/>
        <w:tblLayout w:type="fixed"/>
        <w:tblLook w:firstRow="1" w:lastRow="0" w:firstColumn="0" w:lastColumn="0" w:noHBand="0" w:noVBand="0" w:val="0020"/>
        <w:tblCaption w:val="eTable 8. Spending growth after early renewal (H4), with the pre-trend and robustness estimates"/>
      </w:tblPr>
      <w:tblGrid>
        <w:gridCol w:w="3942"/>
        <w:gridCol w:w="1963"/>
        <w:gridCol w:w="1735"/>
        <w:gridCol w:w="1069"/>
        <w:gridCol w:w="651"/>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its largest weight is 0.83);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11.5 log points, above the absolute H4 estimate of 0.4 log points (1 log point = 0.01 in log spending, about 1%), so the condition does not hold and H4 is not read as an effect. The two-way fixed-effects model has one more ACO: the stayer with no post-period spending value keeps its pre-period years.</w:t>
      </w:r>
    </w:p>
    <w:p>
      <w:pPr>
        <w:pStyle w:val="TableCaption"/>
      </w:pPr>
      <w:r>
        <w:t xml:space="preserve">eTable 9. Attrition from the H4 spending panel, by group and year</w:t>
      </w:r>
    </w:p>
    <w:tbl>
      <w:tblPr>
        <w:tblStyle w:val="Table"/>
        <w:tblW w:type="pct" w:w="5000"/>
        <w:tblLayout w:type="fixed"/>
        <w:tblLook w:firstRow="1" w:lastRow="0" w:firstColumn="0" w:lastColumn="0" w:noHBand="0" w:noVBand="0" w:val="0020"/>
        <w:tblCaption w:val="eTable 9. Attrition from the H4 spending panel, by group and year"/>
      </w:tblPr>
      <w:tblGrid>
        <w:gridCol w:w="6240"/>
        <w:gridCol w:w="1040"/>
        <w:gridCol w:w="1040"/>
        <w:gridCol w:w="104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10. Exploratory analyses</w:t>
      </w:r>
    </w:p>
    <w:tbl>
      <w:tblPr>
        <w:tblStyle w:val="Table"/>
        <w:tblW w:type="pct" w:w="5000"/>
        <w:tblLayout w:type="fixed"/>
        <w:tblLook w:firstRow="1" w:lastRow="0" w:firstColumn="0" w:lastColumn="0" w:noHBand="0" w:noVBand="0" w:val="0020"/>
        <w:tblCaption w:val="eTable 10. Exploratory analyses"/>
      </w:tblPr>
      <w:tblGrid>
        <w:gridCol w:w="6249"/>
        <w:gridCol w:w="1300"/>
        <w:gridCol w:w="1811"/>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11. The 2 early renewers already in ENHANCED</w:t>
      </w:r>
    </w:p>
    <w:tbl>
      <w:tblPr>
        <w:tblStyle w:val="Table"/>
        <w:tblW w:type="pct" w:w="5000"/>
        <w:tblLayout w:type="fixed"/>
        <w:tblLook w:firstRow="1" w:lastRow="0" w:firstColumn="0" w:lastColumn="0" w:noHBand="0" w:noVBand="0" w:val="0020"/>
        <w:tblCaption w:val="eTable 11. The 2 early renewers already in ENHANCED"/>
      </w:tblPr>
      <w:tblGrid>
        <w:gridCol w:w="3467"/>
        <w:gridCol w:w="2947"/>
        <w:gridCol w:w="2946"/>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12. Per-capita spending by agreement year</w:t>
      </w:r>
    </w:p>
    <w:tbl>
      <w:tblPr>
        <w:tblStyle w:val="Table"/>
        <w:tblW w:type="pct" w:w="5000"/>
        <w:tblLayout w:type="fixed"/>
        <w:tblLook w:firstRow="1" w:lastRow="0" w:firstColumn="0" w:lastColumn="0" w:noHBand="0" w:noVBand="0" w:val="0020"/>
        <w:tblCaption w:val="eTable 12. Per-capita spending by agreement year"/>
      </w:tblPr>
      <w:tblGrid>
        <w:gridCol w:w="1629"/>
        <w:gridCol w:w="1596"/>
        <w:gridCol w:w="1930"/>
        <w:gridCol w:w="1499"/>
        <w:gridCol w:w="1043"/>
        <w:gridCol w:w="1663"/>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13.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3. Post hoc checks of the expected gain against CMS’s published 2022 benchmarks, and of the regional pull against past savings"/>
      </w:tblPr>
      <w:tblGrid>
        <w:gridCol w:w="2151"/>
        <w:gridCol w:w="988"/>
        <w:gridCol w:w="1339"/>
        <w:gridCol w:w="1553"/>
        <w:gridCol w:w="1007"/>
        <w:gridCol w:w="877"/>
        <w:gridCol w:w="1445"/>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14. Registration record</w:t>
      </w:r>
    </w:p>
    <w:tbl>
      <w:tblPr>
        <w:tblStyle w:val="Table"/>
        <w:tblW w:type="pct" w:w="5000"/>
        <w:tblLayout w:type="fixed"/>
        <w:tblLook w:firstRow="1" w:lastRow="0" w:firstColumn="0" w:lastColumn="0" w:noHBand="0" w:noVBand="0" w:val="0020"/>
        <w:tblCaption w:val="eTable 14. Registration record"/>
      </w:tblPr>
      <w:tblGrid>
        <w:gridCol w:w="1440"/>
        <w:gridCol w:w="792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1">
        <w:r>
          <w:rPr>
            <w:rStyle w:val="Hyperlink"/>
          </w:rPr>
          <w:t xml:space="preserve">https://doi.org/10.17605/OSF.IO/C53W9</w:t>
        </w:r>
      </w:hyperlink>
      <w:r>
        <w:t xml:space="preserve">.</w:t>
      </w:r>
    </w:p>
    <w:bookmarkEnd w:id="12"/>
    <w:bookmarkStart w:id="14" w:name="ref-osfproject"/>
    <w:p>
      <w:pPr>
        <w:pStyle w:val="Bibliography"/>
      </w:pPr>
      <w:r>
        <w:t xml:space="preserve">2.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Project files. 2026.</w:t>
      </w:r>
      <w:r>
        <w:t xml:space="preserve"> </w:t>
      </w:r>
      <w:hyperlink r:id="rId13">
        <w:r>
          <w:rPr>
            <w:rStyle w:val="Hyperlink"/>
          </w:rPr>
          <w:t xml:space="preserve">https://doi.org/10.17605/OSF.IO/Z4AN5</w:t>
        </w:r>
      </w:hyperlink>
      <w:r>
        <w:t xml:space="preserve">.</w:t>
      </w:r>
    </w:p>
    <w:bookmarkEnd w:id="14"/>
    <w:bookmarkStart w:id="16" w:name="ref-frpathways"/>
    <w:p>
      <w:pPr>
        <w:pStyle w:val="Bibliography"/>
      </w:pPr>
      <w:r>
        <w:t xml:space="preserve">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5">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6"/>
    <w:bookmarkEnd w:id="17"/>
    <w:bookmarkEnd w:id="18"/>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2. 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2026-10-30T12:35:09Z</dcterms:created>
  <dcterms:modified xsi:type="dcterms:W3CDTF">2026-10-30T12:35:09Z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