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Samuel Thomas Harrold</w:t>
      </w:r>
      <w:r>
        <w:br/>
      </w:r>
      <w:r>
        <w:t xml:space="preserve">Independent researcher</w:t>
      </w:r>
      <w:r>
        <w:br/>
      </w:r>
      <w:r>
        <w:t xml:space="preserve">samuel.harrold@gmail.com</w:t>
      </w:r>
    </w:p>
    <w:p>
      <w:pPr>
        <w:pStyle w:val="BodyText"/>
      </w:pPr>
      <w:r>
        <w:t xml:space="preserve">October 2026</w:t>
      </w:r>
    </w:p>
    <w:p>
      <w:pPr>
        <w:pStyle w:val="BodyText"/>
      </w:pPr>
      <w:r>
        <w:t xml:space="preserve">The Editor</w:t>
      </w:r>
      <w:r>
        <w:br/>
      </w:r>
      <w:r>
        <w:t xml:space="preserve">Interactive Journal of Medical Research</w:t>
      </w:r>
      <w:r>
        <w:br/>
      </w:r>
      <w:r>
        <w:t xml:space="preserve">JMIR Publications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manuscript</w:t>
      </w:r>
      <w:r>
        <w:t xml:space="preserve"> </w:t>
      </w:r>
      <w:r>
        <w:t xml:space="preserve">“Early Renewal of Accountable Care Organization Agreements to Reset Benchmarks in the Medicare Shared Savings Program: Preregistered Retrospective Cohort Study”</w:t>
      </w:r>
      <w:r>
        <w:t xml:space="preserve"> </w:t>
      </w:r>
      <w:r>
        <w:t xml:space="preserve">for publication in the</w:t>
      </w:r>
      <w:r>
        <w:t xml:space="preserve"> </w:t>
      </w:r>
      <w:r>
        <w:rPr>
          <w:i/>
          <w:iCs/>
        </w:rPr>
        <w:t xml:space="preserve">Interactive Journal of Medical Research</w:t>
      </w:r>
      <w:r>
        <w:t xml:space="preserve"> </w:t>
      </w:r>
      <w:r>
        <w:t xml:space="preserve">as an Original</w:t>
      </w:r>
      <w:r>
        <w:t xml:space="preserve"> </w:t>
      </w:r>
      <w:r>
        <w:t xml:space="preserve">Paper.</w:t>
      </w:r>
    </w:p>
    <w:p>
      <w:pPr>
        <w:pStyle w:val="BodyText"/>
      </w:pPr>
      <w:r>
        <w:t xml:space="preserve">In the Medicare Shared Savings Program, an accountable care organization’s benchmark is reset at each new agreement</w:t>
      </w:r>
      <w:r>
        <w:t xml:space="preserve"> </w:t>
      </w:r>
      <w:r>
        <w:t xml:space="preserve">from its own recent spending, adjusted toward its region’s. The 2019 rules let organizations end an agreement early to</w:t>
      </w:r>
      <w:r>
        <w:t xml:space="preserve"> </w:t>
      </w:r>
      <w:r>
        <w:t xml:space="preserve">reset sooner, and 29 of 334 eligible organizations did so in 2022. To my knowledge, which organizations used this</w:t>
      </w:r>
      <w:r>
        <w:t xml:space="preserve"> </w:t>
      </w:r>
      <w:r>
        <w:t xml:space="preserve">option has not been studied in the peer-reviewed literature, and it bears on how benchmark rules sort organizations</w:t>
      </w:r>
      <w:r>
        <w:t xml:space="preserve"> </w:t>
      </w:r>
      <w:r>
        <w:t xml:space="preserve">into the program.</w:t>
      </w:r>
    </w:p>
    <w:p>
      <w:pPr>
        <w:pStyle w:val="BodyText"/>
      </w:pPr>
      <w:r>
        <w:t xml:space="preserve">The study is a preregistered retrospective cohort study of public Centers for Medicare &amp; Medicaid Services files. The</w:t>
      </w:r>
      <w:r>
        <w:t xml:space="preserve"> </w:t>
      </w:r>
      <w:r>
        <w:t xml:space="preserve">analysis plan, decision rules and code were registered on OSF Registries (osf.io/c53w9) before any outcome data were</w:t>
      </w:r>
      <w:r>
        <w:t xml:space="preserve"> </w:t>
      </w:r>
      <w:r>
        <w:t xml:space="preserve">read. The reset benchmark was rebuilt from the regulation and validated against published benchmarks before use. Early</w:t>
      </w:r>
      <w:r>
        <w:t xml:space="preserve"> </w:t>
      </w:r>
      <w:r>
        <w:t xml:space="preserve">renewers’ regions spent more relative to their current benchmarks than stayers’ regions did, and early renewers were</w:t>
      </w:r>
      <w:r>
        <w:t xml:space="preserve"> </w:t>
      </w:r>
      <w:r>
        <w:t xml:space="preserve">more often at the higher, two-sided risk levels, for which renewal opened a 75% sharing rate. Because they were also</w:t>
      </w:r>
      <w:r>
        <w:t xml:space="preserve"> </w:t>
      </w:r>
      <w:r>
        <w:t xml:space="preserve">beating their benchmarks by more, a reset would not on average have raised their benchmarks, and the benchmarks</w:t>
      </w:r>
      <w:r>
        <w:t xml:space="preserve"> </w:t>
      </w:r>
      <w:r>
        <w:t xml:space="preserve">published for 2022 confirm this. Spending growth afterward did not differ detectably. These results describe selection</w:t>
      </w:r>
      <w:r>
        <w:t xml:space="preserve"> </w:t>
      </w:r>
      <w:r>
        <w:t xml:space="preserve">under benchmark rules that were revised in 2024.</w:t>
      </w:r>
    </w:p>
    <w:p>
      <w:pPr>
        <w:pStyle w:val="BodyText"/>
      </w:pPr>
      <w:r>
        <w:t xml:space="preserve">Preprint: the manuscript was submitted to medRxiv on October 27, 2026 (MEDRXIV/2026/366643) and is in screening. I</w:t>
      </w:r>
      <w:r>
        <w:t xml:space="preserve"> </w:t>
      </w:r>
      <w:r>
        <w:t xml:space="preserve">would prefer not to post a second preprint on JMIR Preprints. It has not been submitted to any other journal.</w:t>
      </w:r>
    </w:p>
    <w:p>
      <w:pPr>
        <w:pStyle w:val="BodyText"/>
      </w:pPr>
      <w:r>
        <w:t xml:space="preserve">Generative AI: I used Claude Code (Anthropic) to draft analysis code, the scripts that build the tables and figures,</w:t>
      </w:r>
      <w:r>
        <w:t xml:space="preserve"> </w:t>
      </w:r>
      <w:r>
        <w:t xml:space="preserve">and most of the text, which I revised; separate instances of it reviewed the plan, the code and the manuscript before submission.</w:t>
      </w:r>
      <w:r>
        <w:t xml:space="preserve"> </w:t>
      </w:r>
      <w:r>
        <w:t xml:space="preserve">These were AI-generated critical assessments, not peer reviews. The submission form’s AI disclosure describes this use.</w:t>
      </w:r>
      <w:r>
        <w:t xml:space="preserve"> </w:t>
      </w:r>
      <w:r>
        <w:t xml:space="preserve">I have not attached the complete session transcripts because the sessions also covered unrelated work and personal</w:t>
      </w:r>
      <w:r>
        <w:t xml:space="preserve"> </w:t>
      </w:r>
      <w:r>
        <w:t xml:space="preserve">matters; I am glad to answer questions or provide relevant excerpts on request.</w:t>
      </w:r>
    </w:p>
    <w:p>
      <w:pPr>
        <w:pStyle w:val="BodyText"/>
      </w:pPr>
      <w:r>
        <w:t xml:space="preserve">Conflicts of interest: I am employed as a data scientist at Indiana University Health; the study was conducted</w:t>
      </w:r>
      <w:r>
        <w:t xml:space="preserve"> </w:t>
      </w:r>
      <w:r>
        <w:t xml:space="preserve">independently of that employment with public data only, and the manuscript discloses this. I hold no editorial role</w:t>
      </w:r>
      <w:r>
        <w:t xml:space="preserve"> </w:t>
      </w:r>
      <w:r>
        <w:t xml:space="preserve">at JMIR Publications.</w:t>
      </w:r>
    </w:p>
    <w:p>
      <w:pPr>
        <w:pStyle w:val="BodyText"/>
      </w:pPr>
      <w:r>
        <w:t xml:space="preserve">All data are public, and the code, data snapshot and results are openly available (links in the Data Availability</w:t>
      </w:r>
      <w:r>
        <w:t xml:space="preserve"> </w:t>
      </w:r>
      <w:r>
        <w:t xml:space="preserve">section). I acknowledge that the article processing fee of US $1985 is payable on acceptance and that I will pay it</w:t>
      </w:r>
      <w:r>
        <w:t xml:space="preserve"> </w:t>
      </w:r>
      <w:r>
        <w:t xml:space="preserve">personally.</w:t>
      </w:r>
      <w:r>
        <w:t xml:space="preserve"> </w:t>
      </w:r>
      <w:r>
        <w:t xml:space="preserve">If the manuscript is not accepted, I would welcome a transfer to JMIRx Med.</w:t>
      </w:r>
    </w:p>
    <w:p>
      <w:pPr>
        <w:pStyle w:val="BodyText"/>
      </w:pPr>
      <w:r>
        <w:t xml:space="preserve">Thank you for considering this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Samuel Thomas Harrold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color="auto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2026-10-28T13:30:17Z</dcterms:created>
  <dcterms:modified xsi:type="dcterms:W3CDTF">2026-10-28T13:30:17Z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