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and of the regional pull against past savings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2915"/>
        <w:gridCol w:w="987"/>
        <w:gridCol w:w="1338"/>
        <w:gridCol w:w="1610"/>
        <w:gridCol w:w="910"/>
        <w:gridCol w:w="1600"/>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2336"/>
        <w:gridCol w:w="2967"/>
        <w:gridCol w:w="2076"/>
        <w:gridCol w:w="1981"/>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pct" w:w="5000"/>
        <w:tblLayout w:type="fixed"/>
        <w:tblLook w:firstRow="1" w:lastRow="0" w:firstColumn="0" w:lastColumn="0" w:noHBand="0" w:noVBand="0" w:val="0020"/>
        <w:tblCaption w:val="eTable 3. Robustness of the group comparisons"/>
      </w:tblPr>
      <w:tblGrid>
        <w:gridCol w:w="5203"/>
        <w:gridCol w:w="1560"/>
        <w:gridCol w:w="1687"/>
        <w:gridCol w:w="91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pct" w:w="5000"/>
        <w:tblLayout w:type="fixed"/>
        <w:tblLook w:firstRow="1" w:lastRow="0" w:firstColumn="0" w:lastColumn="0" w:noHBand="0" w:noVBand="0" w:val="0020"/>
        <w:tblCaption w:val="eTable 4. Robustness of the decision model (H3)"/>
      </w:tblPr>
      <w:tblGrid>
        <w:gridCol w:w="5013"/>
        <w:gridCol w:w="1690"/>
        <w:gridCol w:w="1877"/>
        <w:gridCol w:w="7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6807"/>
        <w:gridCol w:w="2553"/>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=.004</w:t>
            </w:r>
          </w:p>
        </w:tc>
      </w:tr>
    </w:tbl>
    <w:p/>
    <w:p>
      <w:pPr>
        <w:pStyle w:val="TableCaption"/>
      </w:pPr>
      <w:r>
        <w:t xml:space="preserve">eTable 6. Conventional (frequentist) counterparts</w:t>
      </w:r>
    </w:p>
    <w:tbl>
      <w:tblPr>
        <w:tblStyle w:val="Table"/>
        <w:tblW w:type="pct" w:w="5000"/>
        <w:tblLayout w:type="fixed"/>
        <w:tblLook w:firstRow="1" w:lastRow="0" w:firstColumn="0" w:lastColumn="0" w:noHBand="0" w:noVBand="0" w:val="0020"/>
        <w:tblCaption w:val="eTable 6. Conventional (frequentist) counterparts"/>
      </w:tblPr>
      <w:tblGrid>
        <w:gridCol w:w="3087"/>
        <w:gridCol w:w="2736"/>
        <w:gridCol w:w="1300"/>
        <w:gridCol w:w="1456"/>
        <w:gridCol w:w="781"/>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pct" w:w="5000"/>
        <w:tblLayout w:type="fixed"/>
        <w:tblLook w:firstRow="1" w:lastRow="0" w:firstColumn="0" w:lastColumn="0" w:noHBand="0" w:noVBand="0" w:val="0020"/>
        <w:tblCaption w:val="eTable 7. Agreement of registered and conventional verdicts"/>
      </w:tblPr>
      <w:tblGrid>
        <w:gridCol w:w="3375"/>
        <w:gridCol w:w="2418"/>
        <w:gridCol w:w="2657"/>
        <w:gridCol w:w="91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pct" w:w="5000"/>
        <w:tblLayout w:type="fixed"/>
        <w:tblLook w:firstRow="1" w:lastRow="0" w:firstColumn="0" w:lastColumn="0" w:noHBand="0" w:noVBand="0" w:val="0020"/>
        <w:tblCaption w:val="eTable 8. Attrition from the H4 spending panel, by group and year"/>
      </w:tblPr>
      <w:tblGrid>
        <w:gridCol w:w="6240"/>
        <w:gridCol w:w="1040"/>
        <w:gridCol w:w="1040"/>
        <w:gridCol w:w="104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pct" w:w="5000"/>
        <w:tblLayout w:type="fixed"/>
        <w:tblLook w:firstRow="1" w:lastRow="0" w:firstColumn="0" w:lastColumn="0" w:noHBand="0" w:noVBand="0" w:val="0020"/>
        <w:tblCaption w:val="eTable 9. Exploratory analyses"/>
      </w:tblPr>
      <w:tblGrid>
        <w:gridCol w:w="6249"/>
        <w:gridCol w:w="1300"/>
        <w:gridCol w:w="1811"/>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pct" w:w="5000"/>
        <w:tblLayout w:type="fixed"/>
        <w:tblLook w:firstRow="1" w:lastRow="0" w:firstColumn="0" w:lastColumn="0" w:noHBand="0" w:noVBand="0" w:val="0020"/>
        <w:tblCaption w:val="eTable 10. The 2 early renewers already in ENHANCED"/>
      </w:tblPr>
      <w:tblGrid>
        <w:gridCol w:w="3467"/>
        <w:gridCol w:w="2947"/>
        <w:gridCol w:w="2946"/>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629"/>
        <w:gridCol w:w="1596"/>
        <w:gridCol w:w="1930"/>
        <w:gridCol w:w="1499"/>
        <w:gridCol w:w="1043"/>
        <w:gridCol w:w="1663"/>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2. Post hoc checks of the expected gain against CMS’s published 2022 benchmarks, and of the regional pull against past savings"/>
      </w:tblPr>
      <w:tblGrid>
        <w:gridCol w:w="2151"/>
        <w:gridCol w:w="988"/>
        <w:gridCol w:w="1339"/>
        <w:gridCol w:w="1553"/>
        <w:gridCol w:w="1007"/>
        <w:gridCol w:w="877"/>
        <w:gridCol w:w="1445"/>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40"/>
        <w:gridCol w:w="792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 Accessed October 28, 2026.</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2026-10-28T17:06:39Z</dcterms:created>
  <dcterms:modified xsi:type="dcterms:W3CDTF">2026-10-28T17:06:39Z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