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sooner, which was also the only way for an ACO in the BASIC track to reach the ENHANCED track’s 75% share of savings.</w:t>
      </w:r>
      <w:r>
        <w:t xml:space="preserve"> </w:t>
      </w:r>
      <w:r>
        <w:t xml:space="preserve">Why ACOs renewed early has not been studied in</w:t>
      </w:r>
      <w:r>
        <w:t xml:space="preserve"> </w:t>
      </w:r>
      <w:r>
        <w:t xml:space="preserve">peer-reviewed work.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describe which ACOs renewed early, weighing a reset motive (a higher benchmark)</w:t>
      </w:r>
      <w:r>
        <w:t xml:space="preserve"> </w:t>
      </w:r>
      <w:r>
        <w:t xml:space="preserve">against a sharing-rate motive (the move to ENHANCED), and to compare their spending growth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The plan, decision rules and code were registered before</w:t>
      </w:r>
      <w:r>
        <w:t xml:space="preserve"> </w:t>
      </w:r>
      <w:r>
        <w:t xml:space="preserve">outcome data were read. The reset benchmark was rebuilt from 42</w:t>
      </w:r>
      <w:r>
        <w:t xml:space="preserve"> </w:t>
      </w:r>
      <w:r>
        <w:t xml:space="preserve">CFR 425.601 and validated against published benchmarks for</w:t>
      </w:r>
      <w:r>
        <w:t xml:space="preserve"> </w:t>
      </w:r>
      <w:r>
        <w:t xml:space="preserve">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and</w:t>
      </w:r>
      <w:r>
        <w:t xml:space="preserve"> </w:t>
      </w:r>
      <w:r>
        <w:t xml:space="preserve">BASIC risk level were also examined. Groups were compared by Bayesian bootstrap and permutation tests, and early renewal was modeled by Bayesian logistic regression. Spending growth in 2022-2024 was compared by</w:t>
      </w:r>
      <w:r>
        <w:t xml:space="preserve"> </w:t>
      </w:r>
      <w:r>
        <w:t xml:space="preserve">difference-in-differences.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 = 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 BASIC level (levels C-E; 1.34; 95% CrI, 0.38 to 2.31), and 26 of all 27 BASIC-track early renewers moved to</w:t>
      </w:r>
      <w:r>
        <w:t xml:space="preserve"> </w:t>
      </w:r>
      <w:r>
        <w:t xml:space="preserve">ENHANCED. Spending growth did not differ detectably</w:t>
      </w:r>
      <w:r>
        <w:t xml:space="preserve"> </w:t>
      </w:r>
      <w:r>
        <w:t xml:space="preserve">(−0.4%; 95% CrI, −4.0% to 2.5%), and a preregistered pre-trend condition did not hold.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Early renewers were already beating their benchmarks and had more room under</w:t>
      </w:r>
      <w:r>
        <w:t xml:space="preserve"> </w:t>
      </w:r>
      <w:r>
        <w:t xml:space="preserve">their regions’ spending; for almost all, renewal was the</w:t>
      </w:r>
      <w:r>
        <w:t xml:space="preserve"> </w:t>
      </w:r>
      <w:r>
        <w:t xml:space="preserve">route to a 75% sharing rate, and the reset did not on average raise their benchmarks. The pattern fits the</w:t>
      </w:r>
      <w:r>
        <w:t xml:space="preserve"> </w:t>
      </w:r>
      <w:r>
        <w:t xml:space="preserve">sharing-rate motive better than the reset motive, though the design cannot separate them. These are associations</w:t>
      </w:r>
      <w:r>
        <w:t xml:space="preserve"> </w:t>
      </w:r>
      <w:r>
        <w:t xml:space="preserve">under rules that changed in 2024.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As of January 1, 2026, 511 ACOs served 12.6</w:t>
      </w:r>
      <w:r>
        <w:t xml:space="preserve"> </w:t>
      </w:r>
      <w:r>
        <w:t xml:space="preserve">million assigned Medicare beneficiaries, and ACOs earned $4.1 billion in shared savings for 2024.</w:t>
      </w:r>
      <w:r>
        <w:t xml:space="preserve">[</w:t>
      </w:r>
      <w:hyperlink w:anchor="ref-sspfastfacts2026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How benchmarks are set therefore determines both what Medicare pays and which provider organizations take part. At</w:t>
      </w:r>
      <w:r>
        <w:t xml:space="preserve"> </w:t>
      </w:r>
      <w:r>
        <w:t xml:space="preserve">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4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9</w:t>
        </w:r>
      </w:hyperlink>
      <w:r>
        <w:t xml:space="preserve">]</w:t>
      </w:r>
    </w:p>
    <w:p>
      <w:pPr>
        <w:pStyle w:val="BodyText"/>
      </w:pPr>
      <w:r>
        <w:t xml:space="preserve">Benchmarks shape the program through 2 channels. The first is the incentive to save. Rebasing to an ACO’s own</w:t>
      </w:r>
      <w:r>
        <w:t xml:space="preserve"> </w:t>
      </w:r>
      <w:r>
        <w:t xml:space="preserve">recent spending weakens its incentive to save, and under earlier weights it rewarded higher spending just before a</w:t>
      </w:r>
      <w:r>
        <w:t xml:space="preserve"> </w:t>
      </w:r>
      <w:r>
        <w:t xml:space="preserve">new agreement;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this is the ratchet effect that arises whenever targets are set from past</w:t>
      </w:r>
      <w:r>
        <w:t xml:space="preserve"> </w:t>
      </w:r>
      <w:r>
        <w:t xml:space="preserve">performance.</w:t>
      </w:r>
      <w:r>
        <w:t xml:space="preserve">[</w:t>
      </w:r>
      <w:hyperlink w:anchor="ref-weitzman1980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In the MSSP, savings rates were 40% higher in years whose spending did not enter a future</w:t>
      </w:r>
      <w:r>
        <w:t xml:space="preserve"> </w:t>
      </w:r>
      <w:r>
        <w:t xml:space="preserve">benchmark.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</w:p>
    <w:p>
      <w:pPr>
        <w:pStyle w:val="BodyText"/>
      </w:pPr>
      <w:r>
        <w:t xml:space="preserve">The second channel is selection: benchmark rules change which ACOs join, stay and take on risk. ACOs’ spending varies</w:t>
      </w:r>
      <w:r>
        <w:t xml:space="preserve"> </w:t>
      </w:r>
      <w:r>
        <w:t xml:space="preserve">widely relative to their regions even after risk adjustment, so moving benchmarks toward regional averages shifts them</w:t>
      </w:r>
      <w:r>
        <w:t xml:space="preserve"> </w:t>
      </w:r>
      <w:r>
        <w:t xml:space="preserve">unevenly.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ACOs with a positive regional adjustment were less likely to exit,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This literature describes how benchmark</w:t>
      </w:r>
      <w:r>
        <w:t xml:space="preserve"> </w:t>
      </w:r>
      <w:r>
        <w:t xml:space="preserve">rules sort ACOs into joining, staying, leaving and taking on risk, and how rebasing weakens the incentive to save</w:t>
      </w:r>
      <w:r>
        <w:t xml:space="preserve"> </w:t>
      </w:r>
      <w:r>
        <w:t xml:space="preserve">within an agreement; it has not examined when ACOs choose to reset.</w:t>
      </w:r>
    </w:p>
    <w:p>
      <w:pPr>
        <w:pStyle w:val="BodyText"/>
      </w:pPr>
      <w:r>
        <w:t xml:space="preserve">The 2019 rules also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period. CMS imposed that bar to guard</w:t>
      </w:r>
      <w:r>
        <w:t xml:space="preserve"> </w:t>
      </w:r>
      <w:r>
        <w:t xml:space="preserve">against selective entry into its highest-reward track by an ACO</w:t>
      </w:r>
      <w:r>
        <w:t xml:space="preserve"> </w:t>
      </w:r>
      <w:r>
        <w:t xml:space="preserve">“very confident of its ability to generate savings”</w:t>
      </w:r>
      <w:r>
        <w:t xml:space="preserve"> </w:t>
      </w:r>
      <w:r>
        <w:t xml:space="preserve">against its current benchmark, and named early renewal, with its rebased benchmark, as the way to make the</w:t>
      </w:r>
      <w:r>
        <w:t xml:space="preserve"> </w:t>
      </w:r>
      <w:r>
        <w:t xml:space="preserve">move.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These sources describe the early renewers but do not test why they renewed. To the author’s knowledge, no</w:t>
      </w:r>
      <w:r>
        <w:t xml:space="preserve"> </w:t>
      </w:r>
      <w:r>
        <w:t xml:space="preserve">peer-reviewed study has asked whether ACOs used the option to time resets for a higher benchmark or to reach ENHANCED.</w:t>
      </w:r>
      <w:r>
        <w:t xml:space="preserve"> </w:t>
      </w:r>
      <w:r>
        <w:t xml:space="preserve">The question joins the two strands above, the incentive created by rebasing and selection by benchmark rules, and it</w:t>
      </w:r>
      <w:r>
        <w:t xml:space="preserve"> </w:t>
      </w:r>
      <w:r>
        <w:t xml:space="preserve">matters more now that the rules in force since 2024 make a reset cheaper for ACOs that have saved.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Whether a reset would raise the</w:t>
      </w:r>
      <w:r>
        <w:t xml:space="preserve"> </w:t>
      </w:r>
      <w:r>
        <w:t xml:space="preserve">benchmark is answered by the</w:t>
      </w:r>
      <w:r>
        <w:t xml:space="preserve"> </w:t>
      </w:r>
      <w:r>
        <w:rPr>
          <w:i/>
          <w:iCs/>
        </w:rPr>
        <w:t xml:space="preserve">total expected gain</w:t>
      </w:r>
      <w:r>
        <w:t xml:space="preserve">, but its own-spending part is close to a restatement of the</w:t>
      </w:r>
      <w:r>
        <w:t xml:space="preserve"> </w:t>
      </w:r>
      <w:r>
        <w:t xml:space="preserve">savings rate. The registered plan therefore made primary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how far an ACO’s case-mix-adjusted</w:t>
      </w:r>
      <w:r>
        <w:t xml:space="preserve"> </w:t>
      </w:r>
      <w:r>
        <w:t xml:space="preserve">regional spending sat above its current benchmark: it has no term for the ACO’s benchmark-year spending and shows</w:t>
      </w:r>
      <w:r>
        <w:t xml:space="preserve"> </w:t>
      </w:r>
      <w:r>
        <w:t xml:space="preserve">whether an ACO had room to gain on the regional side of a reset, which the savings rate does not capture. The</w:t>
      </w:r>
      <w:r>
        <w:t xml:space="preserve"> </w:t>
      </w:r>
      <w:r>
        <w:t xml:space="preserve">own-spending component and the total gain were read beside it. The study asked whether early renewers had more of</w:t>
      </w:r>
      <w:r>
        <w:t xml:space="preserve"> </w:t>
      </w:r>
      <w:r>
        <w:t xml:space="preserve">that room than ACOs that stayed, which characteristics were associated with early renewal, and whether early</w:t>
      </w:r>
      <w:r>
        <w:t xml:space="preserve"> </w:t>
      </w:r>
      <w:r>
        <w:t xml:space="preserve">renewers’ spending growth differed afterward, as it might if a new benchmark or a higher sharing rate changed the</w:t>
      </w:r>
      <w:r>
        <w:t xml:space="preserve"> </w:t>
      </w:r>
      <w:r>
        <w:t xml:space="preserve">incentive to save. The analysis plan, hypotheses, decision rules and code were registered before any outcome value</w:t>
      </w:r>
      <w:r>
        <w:t xml:space="preserve"> </w:t>
      </w:r>
      <w:r>
        <w:t xml:space="preserve">was read.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These associations bear on the motives but cannot establish which one drove the choice.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,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35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44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55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59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3 checks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 group-comparison estimator above. Third, the rank correlation of the regional pull</w:t>
      </w:r>
      <w:r>
        <w:t xml:space="preserve"> </w:t>
      </w:r>
      <w:r>
        <w:t xml:space="preserve">with the PY2020 and PY2021 savings rates and the own-spending component was computed, to ask whether the pull</w:t>
      </w:r>
      <w:r>
        <w:t xml:space="preserve"> </w:t>
      </w:r>
      <w:r>
        <w:t xml:space="preserve">restates past savings.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supported, which the plan worded as</w:t>
      </w:r>
      <w:r>
        <w:t xml:space="preserve"> </w:t>
      </w:r>
      <w:r>
        <w:t xml:space="preserve">“evidence for the reset motive</w:t>
      </w:r>
      <w:r>
        <w:t xml:space="preserve"> </w:t>
      </w:r>
      <w:r>
        <w:t xml:space="preserve">beyond past savings.”</w:t>
      </w:r>
      <w:r>
        <w:t xml:space="preserve"> </w:t>
      </w:r>
      <w:r>
        <w:t xml:space="preserve">The decomposition shows that this wording overstates the result.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The pull is related to past savings without restating it: post hoc, its rank correlation</w:t>
      </w:r>
      <w:r>
        <w:t xml:space="preserve"> </w:t>
      </w:r>
      <w:r>
        <w:t xml:space="preserve">with the PY2020 savings rate was 0.45 among the 267 compared ACOs (eTable 12 in Multimedia Appendix 1).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the ACOs that ended their agreements early were</w:t>
      </w:r>
      <w:r>
        <w:t xml:space="preserve"> </w:t>
      </w:r>
      <w:r>
        <w:t xml:space="preserve">already beating their benchmarks by more than ACOs that stayed, had more room under their regions’ spending, and,</w:t>
      </w:r>
      <w:r>
        <w:t xml:space="preserve"> </w:t>
      </w:r>
      <w:r>
        <w:t xml:space="preserve">in the BASIC track, were more often already bearing two-sided risk. For 26 of the 27 BASIC-track early renewers,</w:t>
      </w:r>
      <w:r>
        <w:t xml:space="preserve"> </w:t>
      </w:r>
      <w:r>
        <w:t xml:space="preserve">renewal was the move to ENHANCED’s 75% sharing rate. By the study’s approximation, a reset would not on average have</w:t>
      </w:r>
      <w:r>
        <w:t xml:space="preserve"> </w:t>
      </w:r>
      <w:r>
        <w:t xml:space="preserve">raised their benchmarks, because the regional gain and the own-spending loss roughly offset, and the benchmarks CMS</w:t>
      </w:r>
      <w:r>
        <w:t xml:space="preserve"> </w:t>
      </w:r>
      <w:r>
        <w:t xml:space="preserve">published for 2022, examined post hoc, agree. Spending growth in the 3 years after renewal did not differ detectably</w:t>
      </w:r>
      <w:r>
        <w:t xml:space="preserve"> </w:t>
      </w:r>
      <w:r>
        <w:t xml:space="preserve">from that of ACOs not yet renewed.</w:t>
      </w:r>
    </w:p>
    <w:p>
      <w:pPr>
        <w:pStyle w:val="BodyText"/>
      </w:pPr>
      <w:r>
        <w:t xml:space="preserve">To the author’s knowledge, this is the first peer-reviewed study of which ACOs used the early-renewal option. It adds</w:t>
      </w:r>
      <w:r>
        <w:t xml:space="preserve"> </w:t>
      </w:r>
      <w:r>
        <w:t xml:space="preserve">3 things. First, the intuitive account that ACOs renewed early to raise their benchmarks does not hold on average.</w:t>
      </w:r>
      <w:r>
        <w:t xml:space="preserve"> </w:t>
      </w:r>
      <w:r>
        <w:t xml:space="preserve">This rests on a secondary decomposition, built from data the ACOs did not yet have when they decided, and on the</w:t>
      </w:r>
      <w:r>
        <w:t xml:space="preserve"> </w:t>
      </w:r>
      <w:r>
        <w:t xml:space="preserve">benchmarks CMS later published, examined post hoc. Second, early renewers were sorted on the positions found for</w:t>
      </w:r>
      <w:r>
        <w:t xml:space="preserve"> </w:t>
      </w:r>
      <w:r>
        <w:t xml:space="preserve">joining and staying, room under their regions’ spending and greater risk, which extends that literature to when ACOs</w:t>
      </w:r>
      <w:r>
        <w:t xml:space="preserve"> </w:t>
      </w:r>
      <w:r>
        <w:t xml:space="preserve">reset; the size of the regional difference depended on the estimator, and in the decision model its interval reached</w:t>
      </w:r>
      <w:r>
        <w:t xml:space="preserve"> </w:t>
      </w:r>
      <w:r>
        <w:t xml:space="preserve">zero in 2 robustness checks. Third, the study provides a public, validated reconstruction of the reset benchmark and</w:t>
      </w:r>
      <w:r>
        <w:t xml:space="preserve"> </w:t>
      </w:r>
      <w:r>
        <w:t xml:space="preserve">a preregistered, code-enforced analysis that can be rerun for later cohorts. Spending growth after renewal did not</w:t>
      </w:r>
      <w:r>
        <w:t xml:space="preserve"> </w:t>
      </w:r>
      <w:r>
        <w:t xml:space="preserve">differ detectably; under parallel trends, which the single pre-period could not establish, the interval rules out a</w:t>
      </w:r>
      <w:r>
        <w:t xml:space="preserve"> </w:t>
      </w:r>
      <w:r>
        <w:t xml:space="preserve">drop of more than about 4% or a rise of more than about 2.5%.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selection described in the Introduction: providers with low</w:t>
      </w:r>
      <w:r>
        <w:t xml:space="preserve"> </w:t>
      </w:r>
      <w:r>
        <w:t xml:space="preserve">spending for their region joining,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benchmarks fell leaving,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and ACOs with a positive</w:t>
      </w:r>
      <w:r>
        <w:t xml:space="preserve"> </w:t>
      </w:r>
      <w:r>
        <w:t xml:space="preserve">regional adjustment about 70% less likely to exit.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 when to reset rather than whether to join or leave,</w:t>
      </w:r>
      <w:r>
        <w:t xml:space="preserve"> </w:t>
      </w:r>
      <w:r>
        <w:t xml:space="preserve">and early renewers had, on average, more room under their regions’ spending, the position associated with joining and</w:t>
      </w:r>
      <w:r>
        <w:t xml:space="preserve"> </w:t>
      </w:r>
      <w:r>
        <w:t xml:space="preserve">staying. In a voluntary Medicare bundled-payment program, hospitals that could gain without changing their behavior</w:t>
      </w:r>
      <w:r>
        <w:t xml:space="preserve"> </w:t>
      </w:r>
      <w:r>
        <w:t xml:space="preserve">were more likely to join, which the authors called selection on levels;</w:t>
      </w:r>
      <w:r>
        <w:t xml:space="preserve">[</w:t>
      </w:r>
      <w:hyperlink w:anchor="ref-einav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early renewal shows selection on a</w:t>
      </w:r>
      <w:r>
        <w:t xml:space="preserve"> </w:t>
      </w:r>
      <w:r>
        <w:t xml:space="preserve">similar position, though the gain that most early renewers took appears to have been the sharing rate rather than a</w:t>
      </w:r>
      <w:r>
        <w:t xml:space="preserve"> </w:t>
      </w:r>
      <w:r>
        <w:t xml:space="preserve">higher benchmark. The industry report on the same cohort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is</w:t>
      </w:r>
      <w:r>
        <w:t xml:space="preserve"> </w:t>
      </w:r>
      <w:r>
        <w:t xml:space="preserve">consistent with the higher prior savings rates and the BASIC-level association here. Beyond that report, this study rebuilt the reset benchmark and validated it</w:t>
      </w:r>
      <w:r>
        <w:t xml:space="preserve"> </w:t>
      </w:r>
      <w:r>
        <w:t xml:space="preserve">against CMS’s, separated its own-spending and regional parts, modeled the decision within the BASIC track and followed</w:t>
      </w:r>
      <w:r>
        <w:t xml:space="preserve"> </w:t>
      </w:r>
      <w:r>
        <w:t xml:space="preserve">spending afterward, under a preregistered plan.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rules.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The same success, however, meant that the own-spending part of a reset would</w:t>
      </w:r>
      <w:r>
        <w:t xml:space="preserve"> </w:t>
      </w:r>
      <w:r>
        <w:t xml:space="preserve">have cut their benchmarks.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 already in ENHANCED, for whom only the reset could change, looked like typical stayers on every</w:t>
      </w:r>
      <w:r>
        <w:t xml:space="preserve"> </w:t>
      </w:r>
      <w:r>
        <w:t xml:space="preserve">variable. Taken together, with renewal and the move to ENHANCED one choice, the higher BASIC levels, a total</w:t>
      </w:r>
      <w:r>
        <w:t xml:space="preserve"> </w:t>
      </w:r>
      <w:r>
        <w:t xml:space="preserve">expected gain near zero and reset benchmarks that fell, the pattern fits the sharing-rate motive better than the</w:t>
      </w:r>
      <w:r>
        <w:t xml:space="preserve"> </w:t>
      </w:r>
      <w:r>
        <w:t xml:space="preserve">reset motive, and it is the trade CMS built into the rules: the move to ENHANCED required a reset.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That</w:t>
      </w:r>
      <w:r>
        <w:t xml:space="preserve"> </w:t>
      </w:r>
      <w:r>
        <w:t xml:space="preserve">is an interpretation, not a test; the design cannot separate the motives, and 2 ACOs already in ENHANCED are too few</w:t>
      </w:r>
      <w:r>
        <w:t xml:space="preserve"> </w:t>
      </w:r>
      <w:r>
        <w:t xml:space="preserve">to weigh.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under the 2022 rules the use of the early-renewal option is consistent with</w:t>
      </w:r>
      <w:r>
        <w:t xml:space="preserve"> </w:t>
      </w:r>
      <w:r>
        <w:t xml:space="preserve">how CMS described it: a route to the ENHANCED track for ACOs already beating their benchmarks, at the price of a reset that did not on</w:t>
      </w:r>
      <w:r>
        <w:t xml:space="preserve"> </w:t>
      </w:r>
      <w:r>
        <w:t xml:space="preserve">average raise those benchmarks. They do not suggest that ACOs used the option to time resets for a higher benchmark.</w:t>
      </w:r>
      <w:r>
        <w:t xml:space="preserve"> </w:t>
      </w:r>
      <w:r>
        <w:t xml:space="preserve">The rules have since changed. For agreement periods beginning January 1, 2024 or later, an ACO that saved in its</w:t>
      </w:r>
      <w:r>
        <w:t xml:space="preserve"> </w:t>
      </w:r>
      <w:r>
        <w:t xml:space="preserve">benchmark years can receive a prior savings adjustment, and its benchmark gets the higher of that adjustment and the</w:t>
      </w:r>
      <w:r>
        <w:t xml:space="preserve"> </w:t>
      </w:r>
      <w:r>
        <w:t xml:space="preserve">regional adjustment; negative regional adjustments are partly offset; and the annual update blends in a fixed</w:t>
      </w:r>
      <w:r>
        <w:t xml:space="preserve"> </w:t>
      </w:r>
      <w:r>
        <w:t xml:space="preserve">projected trend.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A reset now costs a saving ACO less, and saving ACOs are the ones that renewed early, so</w:t>
      </w:r>
      <w:r>
        <w:t xml:space="preserve"> </w:t>
      </w:r>
      <w:r>
        <w:t xml:space="preserve">the option may become more attractive to them and its cost to Medicare may change; its use is worth monitoring, and</w:t>
      </w:r>
      <w:r>
        <w:t xml:space="preserve"> </w:t>
      </w:r>
      <w:r>
        <w:t xml:space="preserve">the 34 stayers that renewed early into 2024 agreements are a first sample. Two questions remain open: what early</w:t>
      </w:r>
      <w:r>
        <w:t xml:space="preserve"> </w:t>
      </w:r>
      <w:r>
        <w:t xml:space="preserve">renewal cost Medicare, and how much of the choice reflected the sharing rate rather than the benchmark, which a</w:t>
      </w:r>
      <w:r>
        <w:t xml:space="preserve"> </w:t>
      </w:r>
      <w:r>
        <w:t xml:space="preserve">period in which ACOs could move to ENHANCED without resetting would separate.</w:t>
      </w:r>
    </w:p>
    <w:bookmarkEnd w:id="54"/>
    <w:bookmarkStart w:id="55" w:name="strengths-and-limitations"/>
    <w:p>
      <w:pPr>
        <w:pStyle w:val="Heading2"/>
      </w:pPr>
      <w:r>
        <w:t xml:space="preserve">Strengths and Limitations</w:t>
      </w:r>
    </w:p>
    <w:p>
      <w:pPr>
        <w:pStyle w:val="FirstParagraph"/>
      </w:pPr>
      <w:r>
        <w:t xml:space="preserve">The study’s strengths are in its design. The plan, decision rules and code were registered before any outcome data</w:t>
      </w:r>
      <w:r>
        <w:t xml:space="preserve"> </w:t>
      </w:r>
      <w:r>
        <w:t xml:space="preserve">were read, and the code enforced that order; the benchmark CMS does not publish was rebuilt from the regulation and</w:t>
      </w:r>
      <w:r>
        <w:t xml:space="preserve"> </w:t>
      </w:r>
      <w:r>
        <w:t xml:space="preserve">validated before use; the measurement error found in validation was carried into the decision model; and every</w:t>
      </w:r>
      <w:r>
        <w:t xml:space="preserve"> </w:t>
      </w:r>
      <w:r>
        <w:t xml:space="preserve">registered verdict agreed with its conventional frequentist counterpart. The code, data snapshot and results are</w:t>
      </w:r>
      <w:r>
        <w:t xml:space="preserve"> </w:t>
      </w:r>
      <w:r>
        <w:t xml:space="preserve">public, so every estimate can be rerun.</w:t>
      </w:r>
    </w:p>
    <w:p>
      <w:pPr>
        <w:pStyle w:val="BodyText"/>
      </w:pPr>
      <w:r>
        <w:t xml:space="preserve">It also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the own-spending comparison and the total gain are weak evidence for</w:t>
      </w:r>
      <w:r>
        <w:t xml:space="preserve"> </w:t>
      </w:r>
      <w:r>
        <w:t xml:space="preserve">any single ACO, and the regional</w:t>
      </w:r>
      <w:r>
        <w:t xml:space="preserve"> </w:t>
      </w:r>
      <w:r>
        <w:t xml:space="preserve">part could not be checked. Third, with 29 early renewers, 24 in the decision model, the decision model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the expected-gain comparisons and the decision model</w:t>
      </w:r>
      <w:r>
        <w:t xml:space="preserve"> </w:t>
      </w:r>
      <w:r>
        <w:t xml:space="preserve">describe the larger ACOs. Fifth, the spending comparison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63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the comparisons and the decision model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this cohort, early renewal looks less like timing a reset for a higher benchmark than like the price of reaching</w:t>
      </w:r>
      <w:r>
        <w:t xml:space="preserve"> </w:t>
      </w:r>
      <w:r>
        <w:t xml:space="preserve">ENHANCED’s 75% sharing rate: the reset did not on average raise early renewers’ benchmarks, and almost all moved to</w:t>
      </w:r>
      <w:r>
        <w:t xml:space="preserve"> </w:t>
      </w:r>
      <w:r>
        <w:t xml:space="preserve">ENHANCED. Spending growth afterward showed no detectable difference. These are associations, measured with public</w:t>
      </w:r>
      <w:r>
        <w:t xml:space="preserve"> </w:t>
      </w:r>
      <w:r>
        <w:t xml:space="preserve">data under a preregistered plan, and the design cannot separate the motives. They extend the evidence that benchmark</w:t>
      </w:r>
      <w:r>
        <w:t xml:space="preserve"> </w:t>
      </w:r>
      <w:r>
        <w:t xml:space="preserve">rules sort ACOs to the timing of resets and give a baseline for the rules in force since 2024.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repository.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65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93" w:name="references"/>
    <w:p>
      <w:pPr>
        <w:pStyle w:val="Heading1"/>
      </w:pPr>
      <w:r>
        <w:t xml:space="preserve">References</w:t>
      </w:r>
    </w:p>
    <w:bookmarkStart w:id="192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sspfastfacts2026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fast facts: As of</w:t>
      </w:r>
      <w:r>
        <w:t xml:space="preserve"> </w:t>
      </w:r>
      <w:r>
        <w:t xml:space="preserve">January</w:t>
      </w:r>
      <w:r>
        <w:t xml:space="preserve"> </w:t>
      </w:r>
      <w:r>
        <w:t xml:space="preserve">1, 2026. Published online 2026.</w:t>
      </w:r>
      <w:r>
        <w:t xml:space="preserve"> </w:t>
      </w:r>
      <w:hyperlink r:id="rId65">
        <w:r>
          <w:rPr>
            <w:rStyle w:val="Hyperlink"/>
          </w:rPr>
          <w:t xml:space="preserve">https://www.cms.gov/files/document/2026-shared-savings-program-fast-facts.pdf</w:t>
        </w:r>
      </w:hyperlink>
    </w:p>
    <w:bookmarkEnd w:id="66"/>
    <w:bookmarkStart w:id="68" w:name="ref-cfr42560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67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8"/>
    <w:bookmarkStart w:id="70" w:name="ref-mcwilliams2016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9">
        <w:r>
          <w:rPr>
            <w:rStyle w:val="Hyperlink"/>
          </w:rPr>
          <w:t xml:space="preserve">10.1056/nejmsa1600142</w:t>
        </w:r>
      </w:hyperlink>
    </w:p>
    <w:bookmarkEnd w:id="70"/>
    <w:bookmarkStart w:id="72" w:name="ref-mcwilliams2018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71">
        <w:r>
          <w:rPr>
            <w:rStyle w:val="Hyperlink"/>
          </w:rPr>
          <w:t xml:space="preserve">10.1056/nejmsa1803388</w:t>
        </w:r>
      </w:hyperlink>
    </w:p>
    <w:bookmarkEnd w:id="72"/>
    <w:bookmarkStart w:id="74" w:name="ref-bond2025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3">
        <w:r>
          <w:rPr>
            <w:rStyle w:val="Hyperlink"/>
          </w:rPr>
          <w:t xml:space="preserve">10.1001/jama.2025.3870</w:t>
        </w:r>
      </w:hyperlink>
    </w:p>
    <w:bookmarkEnd w:id="74"/>
    <w:bookmarkStart w:id="76" w:name="ref-mcwilliams202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5">
        <w:r>
          <w:rPr>
            <w:rStyle w:val="Hyperlink"/>
          </w:rPr>
          <w:t xml:space="preserve">10.1111/1468-0009.12468</w:t>
        </w:r>
      </w:hyperlink>
    </w:p>
    <w:bookmarkEnd w:id="76"/>
    <w:bookmarkStart w:id="78" w:name="ref-markovitz2019exi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7">
        <w:r>
          <w:rPr>
            <w:rStyle w:val="Hyperlink"/>
          </w:rPr>
          <w:t xml:space="preserve">10.7326/m18-2539</w:t>
        </w:r>
      </w:hyperlink>
    </w:p>
    <w:bookmarkEnd w:id="78"/>
    <w:bookmarkStart w:id="80" w:name="ref-markovitz2019risk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9">
        <w:r>
          <w:rPr>
            <w:rStyle w:val="Hyperlink"/>
          </w:rPr>
          <w:t xml:space="preserve">10.1377/hlthaff.2018.05407</w:t>
        </w:r>
      </w:hyperlink>
    </w:p>
    <w:bookmarkEnd w:id="80"/>
    <w:bookmarkStart w:id="82" w:name="ref-douven2015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81">
        <w:r>
          <w:rPr>
            <w:rStyle w:val="Hyperlink"/>
          </w:rPr>
          <w:t xml:space="preserve">10.1377/hlthaff.2014.0444</w:t>
        </w:r>
      </w:hyperlink>
    </w:p>
    <w:bookmarkEnd w:id="82"/>
    <w:bookmarkStart w:id="84" w:name="ref-weitzman1980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Weitzman ML. The</w:t>
      </w:r>
      <w:r>
        <w:t xml:space="preserve"> </w:t>
      </w:r>
      <w:r>
        <w:t xml:space="preserve">“Ratchet Principle”</w:t>
      </w:r>
      <w:r>
        <w:t xml:space="preserve"> </w:t>
      </w:r>
      <w:r>
        <w:t xml:space="preserve">and Performance Incentives.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. 1980;11(1):302. doi:</w:t>
      </w:r>
      <w:hyperlink r:id="rId83">
        <w:r>
          <w:rPr>
            <w:rStyle w:val="Hyperlink"/>
          </w:rPr>
          <w:t xml:space="preserve">10.2307/3003414</w:t>
        </w:r>
      </w:hyperlink>
    </w:p>
    <w:bookmarkEnd w:id="84"/>
    <w:bookmarkStart w:id="86" w:name="ref-cappello2026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Cappello A.</w:t>
      </w:r>
      <w:r>
        <w:t xml:space="preserve"> </w:t>
      </w:r>
      <w:r>
        <w:rPr>
          <w:i/>
          <w:iCs/>
        </w:rPr>
        <w:t xml:space="preserve">Essays in</w:t>
      </w:r>
      <w:r>
        <w:rPr>
          <w:i/>
          <w:iCs/>
        </w:rPr>
        <w:t xml:space="preserve"> </w:t>
      </w:r>
      <w:r>
        <w:rPr>
          <w:i/>
          <w:iCs/>
        </w:rPr>
        <w:t xml:space="preserve">Industrial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. PhD dissertation. Boston College; 2026.</w:t>
      </w:r>
      <w:r>
        <w:t xml:space="preserve"> </w:t>
      </w:r>
      <w:hyperlink r:id="rId85">
        <w:r>
          <w:rPr>
            <w:rStyle w:val="Hyperlink"/>
          </w:rPr>
          <w:t xml:space="preserve">https://www.proquest.com/openview/92b6e8f86c7ba39e2ba879d91063898b/1</w:t>
        </w:r>
      </w:hyperlink>
    </w:p>
    <w:bookmarkEnd w:id="86"/>
    <w:bookmarkStart w:id="88" w:name="ref-rose201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7">
        <w:r>
          <w:rPr>
            <w:rStyle w:val="Hyperlink"/>
          </w:rPr>
          <w:t xml:space="preserve">10.1377/hlthaff.2015.1026</w:t>
        </w:r>
      </w:hyperlink>
    </w:p>
    <w:bookmarkEnd w:id="88"/>
    <w:bookmarkStart w:id="90" w:name="ref-lyu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9">
        <w:r>
          <w:rPr>
            <w:rStyle w:val="Hyperlink"/>
          </w:rPr>
          <w:t xml:space="preserve">10.1377/hlthaff.2022.01061</w:t>
        </w:r>
      </w:hyperlink>
    </w:p>
    <w:bookmarkEnd w:id="90"/>
    <w:bookmarkStart w:id="92" w:name="ref-chen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91">
        <w:r>
          <w:rPr>
            <w:rStyle w:val="Hyperlink"/>
          </w:rPr>
          <w:t xml:space="preserve">10.1086/726748</w:t>
        </w:r>
      </w:hyperlink>
    </w:p>
    <w:bookmarkEnd w:id="92"/>
    <w:bookmarkStart w:id="94" w:name="ref-srivastava2026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93">
        <w:r>
          <w:rPr>
            <w:rStyle w:val="Hyperlink"/>
          </w:rPr>
          <w:t xml:space="preserve">10.1001/jamanetworkopen.2026.0166</w:t>
        </w:r>
      </w:hyperlink>
    </w:p>
    <w:bookmarkEnd w:id="94"/>
    <w:bookmarkStart w:id="96" w:name="ref-bleser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95">
        <w:r>
          <w:rPr>
            <w:rStyle w:val="Hyperlink"/>
          </w:rPr>
          <w:t xml:space="preserve">10.1377/hlthaff.2018.05097</w:t>
        </w:r>
      </w:hyperlink>
    </w:p>
    <w:bookmarkEnd w:id="96"/>
    <w:bookmarkStart w:id="98" w:name="ref-zhu2023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7">
        <w:r>
          <w:rPr>
            <w:rStyle w:val="Hyperlink"/>
          </w:rPr>
          <w:t xml:space="preserve">10.1111/jrh.12672</w:t>
        </w:r>
      </w:hyperlink>
    </w:p>
    <w:bookmarkEnd w:id="98"/>
    <w:bookmarkStart w:id="100" w:name="ref-ying2023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9">
        <w:r>
          <w:rPr>
            <w:rStyle w:val="Hyperlink"/>
          </w:rPr>
          <w:t xml:space="preserve">10.1007/s11606-022-07947-x</w:t>
        </w:r>
      </w:hyperlink>
    </w:p>
    <w:bookmarkEnd w:id="100"/>
    <w:bookmarkStart w:id="102" w:name="ref-ying2024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101">
        <w:r>
          <w:rPr>
            <w:rStyle w:val="Hyperlink"/>
          </w:rPr>
          <w:t xml:space="preserve">10.1093/haschl/qxad093</w:t>
        </w:r>
      </w:hyperlink>
    </w:p>
    <w:bookmarkEnd w:id="102"/>
    <w:bookmarkStart w:id="104" w:name="ref-moloci2021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103">
        <w:r>
          <w:rPr>
            <w:rStyle w:val="Hyperlink"/>
          </w:rPr>
          <w:t xml:space="preserve">10.1007/s11606-020-06424-7</w:t>
        </w:r>
      </w:hyperlink>
    </w:p>
    <w:bookmarkEnd w:id="104"/>
    <w:bookmarkStart w:id="106" w:name="ref-trombley2022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105">
        <w:r>
          <w:rPr>
            <w:rStyle w:val="Hyperlink"/>
          </w:rPr>
          <w:t xml:space="preserve">10.1377/hlthaff.2020.01819</w:t>
        </w:r>
      </w:hyperlink>
    </w:p>
    <w:bookmarkEnd w:id="106"/>
    <w:bookmarkStart w:id="108" w:name="ref-frpathways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10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8"/>
    <w:bookmarkStart w:id="110" w:name="ref-dataacos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10"/>
    <w:bookmarkStart w:id="112" w:name="ref-milliman2024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</w:t>
      </w:r>
      <w:r>
        <w:t xml:space="preserve"> </w:t>
      </w:r>
      <w:hyperlink r:id="rId11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12"/>
    <w:bookmarkStart w:id="114" w:name="ref-milliman2025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</w:t>
      </w:r>
      <w:r>
        <w:t xml:space="preserve"> </w:t>
      </w:r>
      <w:hyperlink r:id="rId11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14"/>
    <w:bookmarkStart w:id="116" w:name="ref-cfr2024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15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16"/>
    <w:bookmarkStart w:id="117" w:name="ref-registration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17"/>
    <w:bookmarkStart w:id="119" w:name="ref-vonelm2007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8">
        <w:r>
          <w:rPr>
            <w:rStyle w:val="Hyperlink"/>
          </w:rPr>
          <w:t xml:space="preserve">10.1371/journal.pmed.0040296</w:t>
        </w:r>
      </w:hyperlink>
    </w:p>
    <w:bookmarkEnd w:id="119"/>
    <w:bookmarkStart w:id="121" w:name="ref-code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120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21"/>
    <w:bookmarkStart w:id="123" w:name="ref-dataresults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22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23"/>
    <w:bookmarkStart w:id="125" w:name="ref-datacounty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24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25"/>
    <w:bookmarkStart w:id="127" w:name="ref-dataassigned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26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27"/>
    <w:bookmarkStart w:id="129" w:name="ref-osfproject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8">
        <w:r>
          <w:rPr>
            <w:rStyle w:val="Hyperlink"/>
          </w:rPr>
          <w:t xml:space="preserve">10.17605/OSF.IO/Z4AN5</w:t>
        </w:r>
      </w:hyperlink>
    </w:p>
    <w:bookmarkEnd w:id="129"/>
    <w:bookmarkStart w:id="131" w:name="ref-suppression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30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31"/>
    <w:bookmarkStart w:id="133" w:name="ref-specv10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32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33"/>
    <w:bookmarkStart w:id="135" w:name="ref-cfr425600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</w:t>
      </w:r>
      <w:r>
        <w:t xml:space="preserve"> </w:t>
      </w:r>
      <w:hyperlink r:id="rId134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35"/>
    <w:bookmarkStart w:id="137" w:name="ref-rubin1981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36">
        <w:r>
          <w:rPr>
            <w:rStyle w:val="Hyperlink"/>
          </w:rPr>
          <w:t xml:space="preserve">10.1214/aos/1176345338</w:t>
        </w:r>
      </w:hyperlink>
    </w:p>
    <w:bookmarkEnd w:id="137"/>
    <w:bookmarkStart w:id="139" w:name="ref-phipson2010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8">
        <w:r>
          <w:rPr>
            <w:rStyle w:val="Hyperlink"/>
          </w:rPr>
          <w:t xml:space="preserve">10.2202/1544-6115.1585</w:t>
        </w:r>
      </w:hyperlink>
    </w:p>
    <w:bookmarkEnd w:id="139"/>
    <w:bookmarkStart w:id="141" w:name="ref-pymc202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40">
        <w:r>
          <w:rPr>
            <w:rStyle w:val="Hyperlink"/>
          </w:rPr>
          <w:t xml:space="preserve">10.7717/peerj-cs.1516</w:t>
        </w:r>
      </w:hyperlink>
    </w:p>
    <w:bookmarkEnd w:id="141"/>
    <w:bookmarkStart w:id="143" w:name="ref-hoffman2014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42">
        <w:r>
          <w:rPr>
            <w:rStyle w:val="Hyperlink"/>
          </w:rPr>
          <w:t xml:space="preserve">https://jmlr.org/papers/v15/hoffman14a.html</w:t>
        </w:r>
      </w:hyperlink>
    </w:p>
    <w:bookmarkEnd w:id="143"/>
    <w:bookmarkStart w:id="145" w:name="ref-gelman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44">
        <w:r>
          <w:rPr>
            <w:rStyle w:val="Hyperlink"/>
          </w:rPr>
          <w:t xml:space="preserve">10.1002/sim.3107</w:t>
        </w:r>
      </w:hyperlink>
    </w:p>
    <w:bookmarkEnd w:id="145"/>
    <w:bookmarkStart w:id="147" w:name="ref-vehtari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46">
        <w:r>
          <w:rPr>
            <w:rStyle w:val="Hyperlink"/>
          </w:rPr>
          <w:t xml:space="preserve">10.1214/20-ba1221</w:t>
        </w:r>
      </w:hyperlink>
    </w:p>
    <w:bookmarkEnd w:id="147"/>
    <w:bookmarkStart w:id="149" w:name="ref-firth199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8">
        <w:r>
          <w:rPr>
            <w:rStyle w:val="Hyperlink"/>
          </w:rPr>
          <w:t xml:space="preserve">10.1093/biomet/80.1.27</w:t>
        </w:r>
      </w:hyperlink>
    </w:p>
    <w:bookmarkEnd w:id="149"/>
    <w:bookmarkStart w:id="151" w:name="ref-firthmodels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50">
        <w:r>
          <w:rPr>
            <w:rStyle w:val="Hyperlink"/>
          </w:rPr>
          <w:t xml:space="preserve">https://github.com/jzluo/firthmodels</w:t>
        </w:r>
      </w:hyperlink>
    </w:p>
    <w:bookmarkEnd w:id="151"/>
    <w:bookmarkStart w:id="153" w:name="ref-gelmanprior2008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52">
        <w:r>
          <w:rPr>
            <w:rStyle w:val="Hyperlink"/>
          </w:rPr>
          <w:t xml:space="preserve">10.1214/08-aoas191</w:t>
        </w:r>
      </w:hyperlink>
    </w:p>
    <w:bookmarkEnd w:id="153"/>
    <w:bookmarkStart w:id="155" w:name="ref-callaway2021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54">
        <w:r>
          <w:rPr>
            <w:rStyle w:val="Hyperlink"/>
          </w:rPr>
          <w:t xml:space="preserve">10.1016/j.jeconom.2020.12.001</w:t>
        </w:r>
      </w:hyperlink>
    </w:p>
    <w:bookmarkEnd w:id="155"/>
    <w:bookmarkStart w:id="157" w:name="ref-roth2022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56">
        <w:r>
          <w:rPr>
            <w:rStyle w:val="Hyperlink"/>
          </w:rPr>
          <w:t xml:space="preserve">10.1257/aeri.20210236</w:t>
        </w:r>
      </w:hyperlink>
    </w:p>
    <w:bookmarkEnd w:id="157"/>
    <w:bookmarkStart w:id="159" w:name="ref-lakens2017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8">
        <w:r>
          <w:rPr>
            <w:rStyle w:val="Hyperlink"/>
          </w:rPr>
          <w:t xml:space="preserve">10.1177/1948550617697177</w:t>
        </w:r>
      </w:hyperlink>
    </w:p>
    <w:bookmarkEnd w:id="159"/>
    <w:bookmarkStart w:id="161" w:name="ref-rambachan2023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60">
        <w:r>
          <w:rPr>
            <w:rStyle w:val="Hyperlink"/>
          </w:rPr>
          <w:t xml:space="preserve">10.1093/restud/rdad018</w:t>
        </w:r>
      </w:hyperlink>
    </w:p>
    <w:bookmarkEnd w:id="161"/>
    <w:bookmarkStart w:id="163" w:name="ref-rosenbaum1983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62">
        <w:r>
          <w:rPr>
            <w:rStyle w:val="Hyperlink"/>
          </w:rPr>
          <w:t xml:space="preserve">10.1093/biomet/70.1.41</w:t>
        </w:r>
      </w:hyperlink>
    </w:p>
    <w:bookmarkEnd w:id="163"/>
    <w:bookmarkStart w:id="165" w:name="ref-welch1947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64">
        <w:r>
          <w:rPr>
            <w:rStyle w:val="Hyperlink"/>
          </w:rPr>
          <w:t xml:space="preserve">10.1093/biomet/34.1-2.28</w:t>
        </w:r>
      </w:hyperlink>
    </w:p>
    <w:bookmarkEnd w:id="165"/>
    <w:bookmarkStart w:id="167" w:name="ref-mackinnon1985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66">
        <w:r>
          <w:rPr>
            <w:rStyle w:val="Hyperlink"/>
          </w:rPr>
          <w:t xml:space="preserve">10.1016/0304-4076(85)90158-7</w:t>
        </w:r>
      </w:hyperlink>
    </w:p>
    <w:bookmarkEnd w:id="167"/>
    <w:bookmarkStart w:id="169" w:name="ref-statsmodels2010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8">
        <w:r>
          <w:rPr>
            <w:rStyle w:val="Hyperlink"/>
          </w:rPr>
          <w:t xml:space="preserve">10.25080/majora-92bf1922-011</w:t>
        </w:r>
      </w:hyperlink>
    </w:p>
    <w:bookmarkEnd w:id="169"/>
    <w:bookmarkStart w:id="171" w:name="ref-db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70">
        <w:r>
          <w:rPr>
            <w:rStyle w:val="Hyperlink"/>
          </w:rPr>
          <w:t xml:space="preserve">https://github.com/dbt-labs/dbt-core</w:t>
        </w:r>
      </w:hyperlink>
    </w:p>
    <w:bookmarkEnd w:id="171"/>
    <w:bookmarkStart w:id="173" w:name="ref-duckdb2019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72">
        <w:r>
          <w:rPr>
            <w:rStyle w:val="Hyperlink"/>
          </w:rPr>
          <w:t xml:space="preserve">10.1145/3299869.3320212</w:t>
        </w:r>
      </w:hyperlink>
    </w:p>
    <w:bookmarkEnd w:id="173"/>
    <w:bookmarkStart w:id="175" w:name="ref-uv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74">
        <w:r>
          <w:rPr>
            <w:rStyle w:val="Hyperlink"/>
          </w:rPr>
          <w:t xml:space="preserve">https://github.com/astral-sh/uv</w:t>
        </w:r>
      </w:hyperlink>
    </w:p>
    <w:bookmarkEnd w:id="175"/>
    <w:bookmarkStart w:id="177" w:name="ref-arviz2019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76">
        <w:r>
          <w:rPr>
            <w:rStyle w:val="Hyperlink"/>
          </w:rPr>
          <w:t xml:space="preserve">10.21105/joss.01143</w:t>
        </w:r>
      </w:hyperlink>
    </w:p>
    <w:bookmarkEnd w:id="177"/>
    <w:bookmarkStart w:id="179" w:name="ref-numpy2020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8">
        <w:r>
          <w:rPr>
            <w:rStyle w:val="Hyperlink"/>
          </w:rPr>
          <w:t xml:space="preserve">10.1038/s41586-020-2649-2</w:t>
        </w:r>
      </w:hyperlink>
    </w:p>
    <w:bookmarkEnd w:id="179"/>
    <w:bookmarkStart w:id="181" w:name="ref-cfr46102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</w:t>
      </w:r>
      <w:r>
        <w:t xml:space="preserve"> </w:t>
      </w:r>
      <w:hyperlink r:id="rId180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81"/>
    <w:bookmarkStart w:id="183" w:name="ref-gelmancarlin2014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82">
        <w:r>
          <w:rPr>
            <w:rStyle w:val="Hyperlink"/>
          </w:rPr>
          <w:t xml:space="preserve">10.1177/1745691614551642</w:t>
        </w:r>
      </w:hyperlink>
    </w:p>
    <w:bookmarkEnd w:id="183"/>
    <w:bookmarkStart w:id="185" w:name="ref-einav2022"/>
    <w:p>
      <w:pPr>
        <w:pStyle w:val="Bibliography"/>
      </w:pPr>
      <w:r>
        <w:t xml:space="preserve">62.</w:t>
      </w:r>
      <w:r>
        <w:t xml:space="preserve"> </w:t>
      </w:r>
      <w:r>
        <w:t xml:space="preserve">	</w:t>
      </w:r>
      <w:r>
        <w:t xml:space="preserve">Einav L, Finkelstein A, Ji Y, Mahoney N. Voluntary Regulation: Evidence from Medicare Payment Reform.</w:t>
      </w:r>
      <w:r>
        <w:t xml:space="preserve"> </w:t>
      </w:r>
      <w:r>
        <w:rPr>
          <w:i/>
          <w:iCs/>
        </w:rPr>
        <w:t xml:space="preserve">The Quarterly Journal of Economics</w:t>
      </w:r>
      <w:r>
        <w:t xml:space="preserve">. 2021;137(1):565-618. doi:</w:t>
      </w:r>
      <w:hyperlink r:id="rId184">
        <w:r>
          <w:rPr>
            <w:rStyle w:val="Hyperlink"/>
          </w:rPr>
          <w:t xml:space="preserve">10.1093/qje/qjab035</w:t>
        </w:r>
      </w:hyperlink>
    </w:p>
    <w:bookmarkEnd w:id="185"/>
    <w:bookmarkStart w:id="187" w:name="ref-aha2021"/>
    <w:p>
      <w:pPr>
        <w:pStyle w:val="Bibliography"/>
      </w:pPr>
      <w:r>
        <w:t xml:space="preserve">63.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</w:t>
      </w:r>
      <w:r>
        <w:t xml:space="preserve"> </w:t>
      </w:r>
      <w:hyperlink r:id="rId186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87"/>
    <w:bookmarkStart w:id="189" w:name="ref-paperrepo"/>
    <w:p>
      <w:pPr>
        <w:pStyle w:val="Bibliography"/>
      </w:pPr>
      <w:r>
        <w:t xml:space="preserve">64.</w:t>
      </w:r>
      <w:r>
        <w:t xml:space="preserve"> </w:t>
      </w:r>
      <w:r>
        <w:t xml:space="preserve">	</w:t>
      </w:r>
      <w:r>
        <w:t xml:space="preserve">Harrold ST. Manuscript repository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and committed results files. Published online 2026.</w:t>
      </w:r>
      <w:r>
        <w:t xml:space="preserve"> </w:t>
      </w:r>
      <w:hyperlink r:id="rId188">
        <w:r>
          <w:rPr>
            <w:rStyle w:val="Hyperlink"/>
          </w:rPr>
          <w:t xml:space="preserve">https://github.com/stharrold/mssp-paper-2026</w:t>
        </w:r>
      </w:hyperlink>
    </w:p>
    <w:bookmarkEnd w:id="189"/>
    <w:bookmarkStart w:id="191" w:name="ref-post"/>
    <w:p>
      <w:pPr>
        <w:pStyle w:val="Bibliography"/>
      </w:pPr>
      <w:r>
        <w:t xml:space="preserve">65.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90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88" Target="https://github.com/stharrold/mssp-paper-2026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88" Target="https://github.com/stharrold/mssp-paper-2026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2026-10-28T15:24:41Z</dcterms:created>
  <dcterms:modified xsi:type="dcterms:W3CDTF">2026-10-28T15:24:41Z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