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Why did Medicare ACOs reset their benchmarks early? A pre-registered analysis of early renewal in the Medicare Shared Savings Program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Correspondence: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Importance:</w:t>
      </w:r>
      <w:r>
        <w:t xml:space="preserve"> </w:t>
      </w:r>
      <w:r>
        <w:t xml:space="preserve">Medicare Shared Savings Program (MSSP) benchmarks are reset at each new agreement from an</w:t>
      </w:r>
      <w:r>
        <w:t xml:space="preserve"> </w:t>
      </w:r>
      <w:r>
        <w:t xml:space="preserve">accountable care organization’s (ACO’s) recent spending, adjusted toward its region. ACOs could end an agreement</w:t>
      </w:r>
      <w:r>
        <w:t xml:space="preserve"> </w:t>
      </w:r>
      <w:r>
        <w:t xml:space="preserve">early to reset sooner; to the author’s knowledge, which ACOs did so has not been studied.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test, under a preregistered plan, whether ACOs that renewed early stood to gain more than others</w:t>
      </w:r>
      <w:r>
        <w:t xml:space="preserve"> </w:t>
      </w:r>
      <w:r>
        <w:t xml:space="preserve">from the regional part of a benchmark reset, and whether their spending growth differed afterward.</w:t>
      </w:r>
    </w:p>
    <w:p>
      <w:pPr>
        <w:pStyle w:val="BodyText"/>
      </w:pPr>
      <w:r>
        <w:rPr>
          <w:b/>
          <w:bCs/>
        </w:rPr>
        <w:t xml:space="preserve">Design, Setting, and Participants:</w:t>
      </w:r>
      <w:r>
        <w:t xml:space="preserve"> </w:t>
      </w:r>
      <w:r>
        <w:t xml:space="preserve">Preregistered retrospective cohort study of the 334 MSSP ACOs whose agreements</w:t>
      </w:r>
      <w:r>
        <w:t xml:space="preserve"> </w:t>
      </w:r>
      <w:r>
        <w:t xml:space="preserve">began July 1, 2019 or January 1, 2020, using CMS public use files (2016-2024). The plan, decision rules and code were</w:t>
      </w:r>
      <w:r>
        <w:t xml:space="preserve"> </w:t>
      </w:r>
      <w:r>
        <w:t xml:space="preserve">registered on OSF before any outcome data were read, with a code-level lock on the outcome files. The benchmark a</w:t>
      </w:r>
      <w:r>
        <w:t xml:space="preserve"> </w:t>
      </w:r>
      <w:r>
        <w:t xml:space="preserve">reset would produce was rebuilt from the regulation (42 CFR 425.601) and validated against benchmarks CMS published</w:t>
      </w:r>
      <w:r>
        <w:t xml:space="preserve"> </w:t>
      </w:r>
      <w:r>
        <w:t xml:space="preserve">for 101 other ACOs before use.</w:t>
      </w:r>
    </w:p>
    <w:p>
      <w:pPr>
        <w:pStyle w:val="BodyText"/>
      </w:pPr>
      <w:r>
        <w:rPr>
          <w:b/>
          <w:bCs/>
        </w:rPr>
        <w:t xml:space="preserve">Exposures:</w:t>
      </w:r>
      <w:r>
        <w:t xml:space="preserve"> </w:t>
      </w:r>
      <w:r>
        <w:t xml:space="preserve">For the choice analyses, pre-decision characteristics: the regional pull (case-mix-adjusted regional</w:t>
      </w:r>
      <w:r>
        <w:t xml:space="preserve"> </w:t>
      </w:r>
      <w:r>
        <w:t xml:space="preserve">spending relative to the ACO’s current benchmark; primary), the own-spending component of a reset and the BASIC</w:t>
      </w:r>
      <w:r>
        <w:t xml:space="preserve"> </w:t>
      </w:r>
      <w:r>
        <w:t xml:space="preserve">risk level. For the spending analysis, early renewal into a January 1, 2022 agreement.</w:t>
      </w:r>
    </w:p>
    <w:p>
      <w:pPr>
        <w:pStyle w:val="BodyText"/>
      </w:pPr>
      <w:r>
        <w:rPr>
          <w:b/>
          <w:bCs/>
        </w:rPr>
        <w:t xml:space="preserve">Main Outcomes and Measures:</w:t>
      </w:r>
      <w:r>
        <w:t xml:space="preserve"> </w:t>
      </w:r>
      <w:r>
        <w:t xml:space="preserve">Early renewal (29 ACOs, compared with 277 that stayed), analyzed by group comparisons</w:t>
      </w:r>
      <w:r>
        <w:t xml:space="preserve"> </w:t>
      </w:r>
      <w:r>
        <w:t xml:space="preserve">with Bayesian bootstrap intervals and permutation tests and by a Bayesian logistic model with measurement error</w:t>
      </w:r>
      <w:r>
        <w:t xml:space="preserve"> </w:t>
      </w:r>
      <w:r>
        <w:t xml:space="preserve">tested by direct simulation; and per-capita spending growth in 2022-2024, by difference-in-differences with a</w:t>
      </w:r>
      <w:r>
        <w:t xml:space="preserve"> </w:t>
      </w:r>
      <w:r>
        <w:t xml:space="preserve">preregistered equivalence condition on pre-trends.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= 0.94; median absolute error 1.6%). Relative to</w:t>
      </w:r>
      <w:r>
        <w:t xml:space="preserve"> </w:t>
      </w:r>
      <w:r>
        <w:t xml:space="preserve">their current benchmarks, early renewers’ case-mix-adjusted regional spending was 3.4 percentage points higher than</w:t>
      </w:r>
      <w:r>
        <w:t xml:space="preserve"> </w:t>
      </w:r>
      <w:r>
        <w:t xml:space="preserve">stayers’ (95% credible interval [CrI],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.001). Early renewers were also beating their benchmarks by</w:t>
      </w:r>
      <w:r>
        <w:t xml:space="preserve"> </w:t>
      </w:r>
      <w:r>
        <w:t xml:space="preserve">more (own-spending component, −2.1 points; 95% CrI, −3.8 to −0.5), and by the approximation the total expected</w:t>
      </w:r>
      <w:r>
        <w:t xml:space="preserve"> </w:t>
      </w:r>
      <w:r>
        <w:t xml:space="preserve">gain from a reset did not differ (−0.5 points; 95% CrI, −2.0 to 0.8). Among 206 BASIC-track ACOs, early renewal was</w:t>
      </w:r>
      <w:r>
        <w:t xml:space="preserve"> </w:t>
      </w:r>
      <w:r>
        <w:t xml:space="preserve">associated with a higher regional pull (log-odds difference per 2 SD, 1.34; 95% CrI, 0.44 to 2.30) and a higher,</w:t>
      </w:r>
      <w:r>
        <w:t xml:space="preserve"> </w:t>
      </w:r>
      <w:r>
        <w:t xml:space="preserve">two-sided BASIC level (1.34; 95% CrI, 0.38 to 2.31). Spending growth did not differ detectably (−0.4%; 95% CrI,</w:t>
      </w:r>
      <w:r>
        <w:t xml:space="preserve"> </w:t>
      </w:r>
      <w:r>
        <w:t xml:space="preserve">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.78); the equivalence condition did not hold, so this is not read as an effect.</w:t>
      </w:r>
    </w:p>
    <w:p>
      <w:pPr>
        <w:pStyle w:val="BodyText"/>
      </w:pPr>
      <w:r>
        <w:rPr>
          <w:b/>
          <w:bCs/>
        </w:rPr>
        <w:t xml:space="preserve">Conclusions and Relevance:</w:t>
      </w:r>
      <w:r>
        <w:t xml:space="preserve"> </w:t>
      </w:r>
      <w:r>
        <w:t xml:space="preserve">ACOs that renewed early more often had regions that spent more relative to their</w:t>
      </w:r>
      <w:r>
        <w:t xml:space="preserve"> </w:t>
      </w:r>
      <w:r>
        <w:t xml:space="preserve">benchmarks and were more often at higher BASIC levels, for which renewal opened a 75% sharing rate. By the study’s</w:t>
      </w:r>
      <w:r>
        <w:t xml:space="preserve"> </w:t>
      </w:r>
      <w:r>
        <w:t xml:space="preserve">approximation, a reset would not on average have raised their benchmarks. These are associations under the 2022</w:t>
      </w:r>
      <w:r>
        <w:t xml:space="preserve"> </w:t>
      </w:r>
      <w:r>
        <w:t xml:space="preserve">rules; benchmarks set from 2024 credit prior savings.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At 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3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8</w:t>
        </w:r>
      </w:hyperlink>
      <w:r>
        <w:t xml:space="preserve">]</w:t>
      </w:r>
    </w:p>
    <w:p>
      <w:pPr>
        <w:pStyle w:val="BodyText"/>
      </w:pPr>
      <w:r>
        <w:t xml:space="preserve">Benchmarks are central to that selection. Rebasing to an ACO’s own recent spending weakens its incentive to save,</w:t>
      </w:r>
      <w:r>
        <w:t xml:space="preserve"> </w:t>
      </w:r>
      <w:r>
        <w:t xml:space="preserve">and under earlier weights it rewarded higher spending just before a new agreement.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ACOs’ spending</w:t>
      </w:r>
      <w:r>
        <w:t xml:space="preserve"> </w:t>
      </w:r>
      <w:r>
        <w:t xml:space="preserve">varies widely relative to their regions even after risk adjustment, so moving benchmarks toward regional averages</w:t>
      </w:r>
      <w:r>
        <w:t xml:space="preserve"> </w:t>
      </w:r>
      <w:r>
        <w:t xml:space="preserve">shifts them unevenly.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19</w:t>
        </w:r>
      </w:hyperlink>
      <w:r>
        <w:t xml:space="preserve">]</w:t>
      </w:r>
    </w:p>
    <w:p>
      <w:pPr>
        <w:pStyle w:val="BodyText"/>
      </w:pPr>
      <w:r>
        <w:t xml:space="preserve">The same rules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period;</w:t>
      </w:r>
      <w:r>
        <w:t xml:space="preserve">[</w:t>
      </w:r>
      <w:hyperlink w:anchor="ref-frpathways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Which ACOs used</w:t>
      </w:r>
      <w:r>
        <w:t xml:space="preserve"> </w:t>
      </w:r>
      <w:r>
        <w:t xml:space="preserve">the option bears on how benchmark rules sort ACOs, but to the author’s knowledge it has not been studied.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b/>
          <w:b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b/>
          <w:bCs/>
        </w:rPr>
        <w:t xml:space="preserve">sharing-rate motive</w:t>
      </w:r>
      <w:r>
        <w:t xml:space="preserve">, a BASIC-track ACO renews to reach ENHANCED. The savings rate cannot separate</w:t>
      </w:r>
      <w:r>
        <w:t xml:space="preserve"> </w:t>
      </w:r>
      <w:r>
        <w:t xml:space="preserve">them: an ACO beating its benchmark would lose on the own-spending part of a reset, yet may gain on the regional part</w:t>
      </w:r>
      <w:r>
        <w:t xml:space="preserve"> </w:t>
      </w:r>
      <w:r>
        <w:t xml:space="preserve">if its region spends more. This study therefore took as its primary test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 a measure of how</w:t>
      </w:r>
      <w:r>
        <w:t xml:space="preserve"> </w:t>
      </w:r>
      <w:r>
        <w:t xml:space="preserve">far an ACO’s case-mix-adjusted regional spending sat above its current benchmark, which contains no term for the</w:t>
      </w:r>
      <w:r>
        <w:t xml:space="preserve"> </w:t>
      </w:r>
      <w:r>
        <w:t xml:space="preserve">ACO’s own benchmark-year spending. It asked whether early renewers stood to gain more from the regional part of a</w:t>
      </w:r>
      <w:r>
        <w:t xml:space="preserve"> </w:t>
      </w:r>
      <w:r>
        <w:t xml:space="preserve">reset than ACOs that stayed, which characteristics were associated with early renewal, and whether early renewers’</w:t>
      </w:r>
      <w:r>
        <w:t xml:space="preserve"> </w:t>
      </w:r>
      <w:r>
        <w:t xml:space="preserve">spending growth differed afterward. The analysis plan, hypotheses, decision rules and code were registered before</w:t>
      </w:r>
      <w:r>
        <w:t xml:space="preserve"> </w:t>
      </w:r>
      <w:r>
        <w:t xml:space="preserve">any outcome value was read.</w:t>
      </w:r>
      <w:r>
        <w:t xml:space="preserve">[</w:t>
      </w:r>
      <w:hyperlink w:anchor="ref-registration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Associations with pre-decision characteristics bear on the motives but</w:t>
      </w:r>
      <w:r>
        <w:t xml:space="preserve"> </w:t>
      </w:r>
      <w:r>
        <w:t xml:space="preserve">cannot establish them, and no test here can separate the two motives.</w:t>
      </w:r>
    </w:p>
    <w:bookmarkEnd w:id="13"/>
    <w:bookmarkStart w:id="21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(checklist in Supplement</w:t>
      </w:r>
      <w:r>
        <w:t xml:space="preserve"> </w:t>
      </w:r>
      <w:r>
        <w:t xml:space="preserve">1). The analysis plan and the code commit that implements it were registered on OSF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22</w:t>
        </w:r>
      </w:hyperlink>
      <w:r>
        <w:t xml:space="preserve">,</w:t>
      </w:r>
      <w:hyperlink w:anchor="ref-code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CMS data dictionaries, the regulation text and the column names (not the values) of the outcome files</w:t>
      </w:r>
      <w:r>
        <w:t xml:space="preserve"> </w:t>
      </w:r>
      <w:r>
        <w:t xml:space="preserve">were used. The registry’s own timestamp, rather than the repository’s commit dates, 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25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29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b/>
          <w:bCs/>
        </w:rPr>
        <w:t xml:space="preserve">stayers</w:t>
      </w:r>
      <w:r>
        <w:t xml:space="preserve"> </w:t>
      </w:r>
      <w:r>
        <w:t xml:space="preserve">(277 ACOs), those in the same agreement in PY2022. The 28 ACOs absent from the PY2022</w:t>
      </w:r>
      <w:r>
        <w:t xml:space="preserve"> </w:t>
      </w:r>
      <w:r>
        <w:t xml:space="preserve">file (left after PY2021) were described but entered no registered test (Figure 1).</w:t>
      </w:r>
    </w:p>
    <w:bookmarkEnd w:id="16"/>
    <w:bookmarkStart w:id="17" w:name="variables"/>
    <w:p>
      <w:pPr>
        <w:pStyle w:val="Heading2"/>
      </w:pPr>
      <w:r>
        <w:t xml:space="preserve">Variables</w:t>
      </w:r>
    </w:p>
    <w:p>
      <w:pPr>
        <w:pStyle w:val="FirstParagraph"/>
      </w:pPr>
      <w:r>
        <w:rPr>
          <w:b/>
          <w:bCs/>
        </w:rPr>
        <w:t xml:space="preserve">Expected gain from a reset.</w:t>
      </w:r>
      <w:r>
        <w:t xml:space="preserve"> </w:t>
      </w: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 </w:t>
      </w:r>
      <w:r>
        <w:t xml:space="preserve">(new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b/>
          <w:b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b/>
          <w:b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the case-mix-adjusted regional spending for enrollment type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p>
      <w:pPr>
        <w:pStyle w:val="BodyText"/>
      </w:pPr>
      <w:r>
        <w:rPr>
          <w:b/>
          <w:bCs/>
        </w:rPr>
        <w:t xml:space="preserve">Validation before use.</w:t>
      </w:r>
      <w:r>
        <w:t xml:space="preserve"> </w:t>
      </w: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p>
      <w:pPr>
        <w:pStyle w:val="BodyText"/>
      </w:pPr>
      <w:r>
        <w:rPr>
          <w:b/>
          <w:bCs/>
        </w:rPr>
        <w:t xml:space="preserve">Other variables.</w:t>
      </w:r>
      <w:r>
        <w:t xml:space="preserve"> </w:t>
      </w: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</w:t>
      </w:r>
      <w:r>
        <w:t xml:space="preserve"> </w:t>
      </w:r>
      <w:r>
        <w:t xml:space="preserve">advance faster, and could pause the advance for 2021.</w:t>
      </w:r>
    </w:p>
    <w:p>
      <w:pPr>
        <w:pStyle w:val="BodyText"/>
      </w:pPr>
      <w:r>
        <w:rPr>
          <w:b/>
          <w:bCs/>
        </w:rPr>
        <w:t xml:space="preserve">Suppressed values.</w:t>
      </w:r>
      <w:r>
        <w:t xml:space="preserve"> </w:t>
      </w: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17"/>
    <w:bookmarkStart w:id="18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b/>
          <w:b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b/>
          <w:bCs/>
        </w:rPr>
        <w:t xml:space="preserve">H2a</w:t>
      </w:r>
      <w:r>
        <w:rPr>
          <w:b/>
          <w:bCs/>
        </w:rPr>
        <w:t xml:space="preserve"> </w:t>
      </w:r>
      <w:r>
        <w:rPr>
          <w:b/>
          <w:b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b/>
          <w:bCs/>
        </w:rPr>
        <w:t xml:space="preserve">H1</w:t>
      </w:r>
      <w:r>
        <w:rPr>
          <w:b/>
          <w:bCs/>
        </w:rPr>
        <w:t xml:space="preserve"> </w:t>
      </w:r>
      <w:r>
        <w:rPr>
          <w:b/>
          <w:b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b/>
          <w:b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b/>
          <w:b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18"/>
    <w:bookmarkStart w:id="19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rPr>
          <w:b/>
          <w:bCs/>
        </w:rPr>
        <w:t xml:space="preserve">Group comparisons (H1, H2a, H2b).</w:t>
      </w:r>
      <w:r>
        <w:t xml:space="preserve"> </w:t>
      </w: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p>
      <w:pPr>
        <w:pStyle w:val="BodyText"/>
      </w:pPr>
      <w:r>
        <w:rPr>
          <w:b/>
          <w:bCs/>
        </w:rPr>
        <w:t xml:space="preserve">Decision model (H3).</w:t>
      </w:r>
      <w:r>
        <w:t xml:space="preserve"> </w:t>
      </w: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37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p>
      <w:pPr>
        <w:pStyle w:val="BodyText"/>
      </w:pPr>
      <w:r>
        <w:rPr>
          <w:b/>
          <w:bCs/>
        </w:rPr>
        <w:t xml:space="preserve">Spending after renewal (H4).</w:t>
      </w:r>
      <w:r>
        <w:t xml:space="preserve"> </w:t>
      </w:r>
      <w:r>
        <w:t xml:space="preserve">For each ACO,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Minimum detectable effects (MDEs) at 80% power and 2-sided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p>
      <w:pPr>
        <w:pStyle w:val="BodyText"/>
      </w:pPr>
      <w:r>
        <w:rPr>
          <w:b/>
          <w:bCs/>
        </w:rPr>
        <w:t xml:space="preserve">Decision rules.</w:t>
      </w:r>
      <w:r>
        <w:t xml:space="preserve"> </w:t>
      </w: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p>
      <w:pPr>
        <w:pStyle w:val="BodyText"/>
      </w:pPr>
      <w:r>
        <w:rPr>
          <w:b/>
          <w:bCs/>
        </w:rPr>
        <w:t xml:space="preserve">Covariate-adjusted estimates, conventional methods and robustness.</w:t>
      </w:r>
      <w:r>
        <w:t xml:space="preserve"> </w:t>
      </w: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 </w:t>
      </w:r>
      <w:r>
        <w:t xml:space="preserve">MCMC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52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Deviations.</w:t>
      </w:r>
      <w:r>
        <w:t xml:space="preserve"> </w:t>
      </w: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19"/>
    <w:bookmarkStart w:id="20" w:name="ethics"/>
    <w:p>
      <w:pPr>
        <w:pStyle w:val="Heading2"/>
      </w:pPr>
      <w:r>
        <w:t xml:space="preserve">Ethics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individual-level data, no interaction with people and no identifiable private information, so it was not human</w:t>
      </w:r>
      <w:r>
        <w:t xml:space="preserve"> </w:t>
      </w:r>
      <w:r>
        <w:t xml:space="preserve">participants research, and ethics committee or institutional review board approval and informed consent were not</w:t>
      </w:r>
      <w:r>
        <w:t xml:space="preserve"> </w:t>
      </w:r>
      <w:r>
        <w:t xml:space="preserve">required.</w:t>
      </w:r>
    </w:p>
    <w:bookmarkEnd w:id="20"/>
    <w:bookmarkEnd w:id="21"/>
    <w:bookmarkStart w:id="39" w:name="results"/>
    <w:p>
      <w:pPr>
        <w:pStyle w:val="Heading1"/>
      </w:pPr>
      <w:r>
        <w:t xml:space="preserve">Results</w:t>
      </w:r>
    </w:p>
    <w:bookmarkStart w:id="25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Supplement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sample. 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agreements, and no stayer moved to ENHANCED.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23" name="Picture"/>
            <a:graphic>
              <a:graphicData uri="http://schemas.openxmlformats.org/drawingml/2006/picture">
                <pic:pic>
                  <pic:nvPicPr>
                    <pic:cNvPr descr="figures/figure1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25"/>
    <w:bookmarkStart w:id="29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supported:</w:t>
      </w:r>
      <w:r>
        <w:t xml:space="preserve"> </w:t>
      </w:r>
      <w:r>
        <w:t xml:space="preserve">early renewers’ regions spent more relative to their current benchmarks, evidence for the reset motive beyond past</w:t>
      </w:r>
      <w:r>
        <w:t xml:space="preserve"> </w:t>
      </w:r>
      <w:r>
        <w:t xml:space="preserve">savings.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27" name="Picture"/>
            <a:graphic>
              <a:graphicData uri="http://schemas.openxmlformats.org/drawingml/2006/picture">
                <pic:pic>
                  <pic:nvPicPr>
                    <pic:cNvPr descr="figures/figure2-compariso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29"/>
    <w:bookmarkStart w:id="33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Supplement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31" name="Picture"/>
            <a:graphic>
              <a:graphicData uri="http://schemas.openxmlformats.org/drawingml/2006/picture">
                <pic:pic>
                  <pic:nvPicPr>
                    <pic:cNvPr descr="figures/figure3-decision-mod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Decision model of early renewal among BASIC-track ACOs (H3). Points are posterior means and lines 95% credible intervals; the shaded band is the Normal(0, 1) prior’s central 95%. Bold labels mark the core predictors.</w:t>
      </w:r>
    </w:p>
    <w:bookmarkEnd w:id="33"/>
    <w:bookmarkStart w:id="37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Supplement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35" name="Picture"/>
            <a:graphic>
              <a:graphicData uri="http://schemas.openxmlformats.org/drawingml/2006/picture">
                <pic:pic>
                  <pic:nvPicPr>
                    <pic:cNvPr descr="figures/figure4-spending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37"/>
    <w:bookmarkStart w:id="38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Supplement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Supplement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.09; H1,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Supplement 1).</w:t>
      </w:r>
    </w:p>
    <w:p>
      <w:pPr>
        <w:pStyle w:val="BodyText"/>
      </w:pPr>
      <w:r>
        <w:t xml:space="preserve">Among the exploratory analyses (eTables 9-11 in Supplement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38"/>
    <w:bookmarkEnd w:id="39"/>
    <w:bookmarkStart w:id="4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In this preregistered study of the 2019 and 2020 MSSP cohorts, ACOs that ended their agreements early to begin new</w:t>
      </w:r>
      <w:r>
        <w:t xml:space="preserve"> </w:t>
      </w:r>
      <w:r>
        <w:t xml:space="preserve">ones on average had regions that spent more relative to their current benchmarks, and, among BASIC-track ACOs, were</w:t>
      </w:r>
      <w:r>
        <w:t xml:space="preserve"> </w:t>
      </w:r>
      <w:r>
        <w:t xml:space="preserve">more often already at the higher, two-sided levels. They were also beating their benchmarks by more than ACOs that</w:t>
      </w:r>
      <w:r>
        <w:t xml:space="preserve"> </w:t>
      </w:r>
      <w:r>
        <w:t xml:space="preserve">stayed, so by the study’s approximation a reset would not on average have raised their benchmarks: the regional gain</w:t>
      </w:r>
      <w:r>
        <w:t xml:space="preserve"> </w:t>
      </w:r>
      <w:r>
        <w:t xml:space="preserve">and the own-spending loss roughly offset. Spending growth in the 3 years after renewal did not differ detectably from</w:t>
      </w:r>
      <w:r>
        <w:t xml:space="preserve"> </w:t>
      </w:r>
      <w:r>
        <w:t xml:space="preserve">that of ACOs not yet renewed, a result the design could not separate from a continuation of a pre-period difference in</w:t>
      </w:r>
      <w:r>
        <w:t xml:space="preserve"> </w:t>
      </w:r>
      <w:r>
        <w:t xml:space="preserve">trends.</w:t>
      </w:r>
    </w:p>
    <w:bookmarkStart w:id="40" w:name="comparison-with-earlier-work"/>
    <w:p>
      <w:pPr>
        <w:pStyle w:val="Heading2"/>
      </w:pPr>
      <w:r>
        <w:t xml:space="preserve">Comparison with earlier work</w:t>
      </w:r>
    </w:p>
    <w:p>
      <w:pPr>
        <w:pStyle w:val="FirstParagraph"/>
      </w:pPr>
      <w:r>
        <w:t xml:space="preserve">The primary result extends to a new decision the pattern that participation follows the benchmark formula.</w:t>
      </w:r>
      <w:r>
        <w:t xml:space="preserve"> </w:t>
      </w:r>
      <w:r>
        <w:t xml:space="preserve">Participation shifted toward providers whose spending was low relative to their region once regional spending entered</w:t>
      </w:r>
      <w:r>
        <w:t xml:space="preserve"> </w:t>
      </w:r>
      <w:r>
        <w:t xml:space="preserve">benchmarks,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and ACOs whose effective benchmarks fell were more likely to leave.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</w:t>
      </w:r>
      <w:r>
        <w:t xml:space="preserve"> </w:t>
      </w:r>
      <w:r>
        <w:t xml:space="preserve">when to reset rather than whether to join or leave, and early renewers had, on average, more room under their regions’</w:t>
      </w:r>
      <w:r>
        <w:t xml:space="preserve"> </w:t>
      </w:r>
      <w:r>
        <w:t xml:space="preserve">spending. The finding that early renewers were savers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but the same success meant that the own-spending part of a reset would have cut</w:t>
      </w:r>
      <w:r>
        <w:t xml:space="preserve"> </w:t>
      </w:r>
      <w:r>
        <w:t xml:space="preserve">their benchmarks, so the simple account that ACOs reset to get a higher benchmark does not describe them on average.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</w:t>
      </w:r>
      <w:r>
        <w:t xml:space="preserve"> </w:t>
      </w:r>
      <w:r>
        <w:t xml:space="preserve">ENHANCED, and no stayer did.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the association may also reflect an appetite for risk</w:t>
      </w:r>
      <w:r>
        <w:t xml:space="preserve"> </w:t>
      </w:r>
      <w:r>
        <w:t xml:space="preserve">rather 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</w:t>
      </w:r>
      <w:r>
        <w:t xml:space="preserve"> </w:t>
      </w:r>
      <w:r>
        <w:t xml:space="preserve">already in ENHANCED, for whom only the reset could change, looked like typical stayers on every variable, but 2 ACOs</w:t>
      </w:r>
      <w:r>
        <w:t xml:space="preserve"> </w:t>
      </w:r>
      <w:r>
        <w:t xml:space="preserve">cannot separate the motives. No test here can rule either motive in or out.</w:t>
      </w:r>
    </w:p>
    <w:bookmarkEnd w:id="40"/>
    <w:bookmarkStart w:id="41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the early-renewal option let ACOs choose when to reset, and that those</w:t>
      </w:r>
      <w:r>
        <w:t xml:space="preserve"> </w:t>
      </w:r>
      <w:r>
        <w:t xml:space="preserve">that used it were, by the approximation, positioned to gain from the regional adjustment rather than from a higher</w:t>
      </w:r>
      <w:r>
        <w:t xml:space="preserve"> </w:t>
      </w:r>
      <w:r>
        <w:t xml:space="preserve">benchmark overall, with a higher sharing rate available to almost all of them. That is selection into an option the</w:t>
      </w:r>
      <w:r>
        <w:t xml:space="preserve"> </w:t>
      </w:r>
      <w:r>
        <w:t xml:space="preserve">program created; it is not evidence that renewing changed spending. The rules have since changed. For agreement</w:t>
      </w:r>
      <w:r>
        <w:t xml:space="preserve"> </w:t>
      </w:r>
      <w:r>
        <w:t xml:space="preserve">periods beginning January 1, 2024 or later, an ACO that saved in its benchmark years can receive a prior savings</w:t>
      </w:r>
      <w:r>
        <w:t xml:space="preserve"> </w:t>
      </w:r>
      <w:r>
        <w:t xml:space="preserve">adjustment, and its benchmark gets the higher of that adjustment and the regional adjustment; negative regional</w:t>
      </w:r>
      <w:r>
        <w:t xml:space="preserve"> </w:t>
      </w:r>
      <w:r>
        <w:t xml:space="preserve">adjustments are partly offset; and the annual update blends in a fixed projected trend.</w:t>
      </w:r>
      <w:r>
        <w:t xml:space="preserve">[</w:t>
      </w:r>
      <w:hyperlink w:anchor="ref-cfr2024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Under these rules</w:t>
      </w:r>
      <w:r>
        <w:t xml:space="preserve"> </w:t>
      </w:r>
      <w:r>
        <w:t xml:space="preserve">a reset costs an ACO that has been beating its benchmark less, so the incentive to renew early, and which ACOs do so,</w:t>
      </w:r>
      <w:r>
        <w:t xml:space="preserve"> </w:t>
      </w:r>
      <w:r>
        <w:t xml:space="preserve">may differ. Two questions remain open: what early renewal cost Medicare, and how much of the choice reflected the</w:t>
      </w:r>
      <w:r>
        <w:t xml:space="preserve"> </w:t>
      </w:r>
      <w:r>
        <w:t xml:space="preserve">sharing rate rather than the benchmark, which a period in which ACOs could move to ENHANCED without resetting would</w:t>
      </w:r>
      <w:r>
        <w:t xml:space="preserve"> </w:t>
      </w:r>
      <w:r>
        <w:t xml:space="preserve">separate.</w:t>
      </w:r>
    </w:p>
    <w:bookmarkEnd w:id="41"/>
    <w:bookmarkStart w:id="42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This study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decided; validation bounds its error in benchmark levels, but the own-spending component’s</w:t>
      </w:r>
      <w:r>
        <w:t xml:space="preserve"> </w:t>
      </w:r>
      <w:r>
        <w:t xml:space="preserve">estimated error exceeds its spread, so H2a and the total gain are weak evidence for any single ACO, and the regional</w:t>
      </w:r>
      <w:r>
        <w:t xml:space="preserve"> </w:t>
      </w:r>
      <w:r>
        <w:t xml:space="preserve">part could not be checked. Third, with 29 early renewers, 24 in the decision model, H3 was underpowered and its</w:t>
      </w:r>
      <w:r>
        <w:t xml:space="preserve"> </w:t>
      </w:r>
      <w:r>
        <w:t xml:space="preserve">supported coefficients are probably overestimates. Fourth, exclusions exceeded the plan’s 10% line in both groups,</w:t>
      </w:r>
      <w:r>
        <w:t xml:space="preserve"> </w:t>
      </w:r>
      <w:r>
        <w:t xml:space="preserve">and the excluded ACOs were smaller, so H2a, H2b and H3 describe the larger ACOs. Fifth, H4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so anticipation is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</w:t>
      </w:r>
      <w:r>
        <w:t xml:space="preserve"> </w:t>
      </w:r>
      <w:r>
        <w:t xml:space="preserve">enrollment record,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  <w:r>
        <w:t xml:space="preserve"> </w:t>
      </w:r>
      <w:r>
        <w:t xml:space="preserve">Finally, the analysis reads its table without a fixed row order, so a rerun reproduces deterministic values exactly</w:t>
      </w:r>
      <w:r>
        <w:t xml:space="preserve"> </w:t>
      </w:r>
      <w:r>
        <w:t xml:space="preserve">but resampled and simulated values only within simulation error (for example, H1’s simulated power at the MDE was</w:t>
      </w:r>
      <w:r>
        <w:t xml:space="preserve"> </w:t>
      </w:r>
      <w:r>
        <w:t xml:space="preserve">80.4% as committed and 77.6% in a rerun from a fresh clone), far from changing any verdict.</w:t>
      </w:r>
    </w:p>
    <w:bookmarkEnd w:id="42"/>
    <w:bookmarkStart w:id="43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ACOs that renewed early into 2022 MSSP agreements more often had regions that spent more relative to their benchmarks</w:t>
      </w:r>
      <w:r>
        <w:t xml:space="preserve"> </w:t>
      </w:r>
      <w:r>
        <w:t xml:space="preserve">and were more often at higher BASIC levels, for which renewal opened the ENHANCED track. By the study’s</w:t>
      </w:r>
      <w:r>
        <w:t xml:space="preserve"> </w:t>
      </w:r>
      <w:r>
        <w:t xml:space="preserve">approximation, a reset would not on average have raised their benchmarks, and spending growth afterward showed no</w:t>
      </w:r>
      <w:r>
        <w:t xml:space="preserve"> </w:t>
      </w:r>
      <w:r>
        <w:t xml:space="preserve">detectable difference. These are associations under the 2022 rules, measured with public data under a preregistered</w:t>
      </w:r>
      <w:r>
        <w:t xml:space="preserve"> </w:t>
      </w:r>
      <w:r>
        <w:t xml:space="preserve">plan.</w:t>
      </w:r>
    </w:p>
    <w:bookmarkEnd w:id="43"/>
    <w:bookmarkEnd w:id="44"/>
    <w:bookmarkStart w:id="45" w:name="declarations"/>
    <w:p>
      <w:pPr>
        <w:pStyle w:val="Heading1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Data availability:</w:t>
      </w:r>
      <w:r>
        <w:t xml:space="preserve"> </w:t>
      </w: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25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The list of</w:t>
      </w:r>
      <w:r>
        <w:t xml:space="preserve"> </w:t>
      </w:r>
      <w:r>
        <w:t xml:space="preserve">the 40 files downloaded, with sizes, SHA-256 hashes and URLs, and a script that downloads and verifies them are in the</w:t>
      </w:r>
      <w:r>
        <w:t xml:space="preserve"> </w:t>
      </w:r>
      <w:r>
        <w:t xml:space="preserve">study repository;</w:t>
      </w:r>
      <w:r>
        <w:t xml:space="preserve">[</w:t>
      </w:r>
      <w:hyperlink w:anchor="ref-code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 (https://github.com/stharrold/mssp-preprint-2026).</w:t>
      </w:r>
    </w:p>
    <w:p>
      <w:pPr>
        <w:pStyle w:val="BodyText"/>
      </w:pPr>
      <w:r>
        <w:rPr>
          <w:b/>
          <w:bCs/>
        </w:rPr>
        <w:t xml:space="preserve">Code availability:</w:t>
      </w:r>
      <w:r>
        <w:t xml:space="preserve"> </w:t>
      </w:r>
      <w:r>
        <w:t xml:space="preserve">The registered analysis code (commit a4064f5), its tests and step-by-step instructions to</w:t>
      </w:r>
      <w:r>
        <w:t xml:space="preserve"> </w:t>
      </w:r>
      <w:r>
        <w:t xml:space="preserve">rerun and adapt the analysis are at https://github.com/stharrold/stharrold.github.io (directory</w:t>
      </w:r>
      <w:r>
        <w:t xml:space="preserve"> </w:t>
      </w:r>
      <w:r>
        <w:t xml:space="preserve">analysis/mssp-benchmark-ratchet).</w:t>
      </w:r>
      <w:r>
        <w:t xml:space="preserve">[</w:t>
      </w:r>
      <w:hyperlink w:anchor="ref-code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 longer account of the study for a general audience was published</w:t>
      </w:r>
      <w:r>
        <w:t xml:space="preserve"> </w:t>
      </w:r>
      <w:r>
        <w:t xml:space="preserve">online.</w:t>
      </w:r>
      <w:r>
        <w:t xml:space="preserve">[</w:t>
      </w:r>
      <w:hyperlink w:anchor="ref-post">
        <w:r>
          <w:rPr>
            <w:rStyle w:val="Hyperlink"/>
          </w:rPr>
          <w:t xml:space="preserve">55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study received no funding.</w:t>
      </w:r>
    </w:p>
    <w:p>
      <w:pPr>
        <w:pStyle w:val="BodyText"/>
      </w:pPr>
      <w:r>
        <w:rPr>
          <w:b/>
          <w:bCs/>
        </w:rPr>
        <w:t xml:space="preserve">Competing interests: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STH conceived and designed the study, registered the plan, acquired the data, ran the</w:t>
      </w:r>
      <w:r>
        <w:t xml:space="preserve"> </w:t>
      </w:r>
      <w:r>
        <w:t xml:space="preserve">analysis, interpreted the results, drafted and revised the manuscript, and is accountable for all aspects of the work.</w:t>
      </w:r>
    </w:p>
    <w:p>
      <w:pPr>
        <w:pStyle w:val="BodyText"/>
      </w:pPr>
      <w:r>
        <w:rPr>
          <w:b/>
          <w:bCs/>
        </w:rPr>
        <w:t xml:space="preserve">Use of artificial intelligence:</w:t>
      </w:r>
      <w:r>
        <w:t xml:space="preserve"> </w:t>
      </w:r>
      <w:r>
        <w:t xml:space="preserve">The author chose the question, hypotheses and decision rules, approved and</w:t>
      </w:r>
      <w:r>
        <w:t xml:space="preserve"> </w:t>
      </w:r>
      <w:r>
        <w:t xml:space="preserve">registered the plan, ran the analysis, and is responsible for the results and this manuscript. Claude Code (Claude</w:t>
      </w:r>
      <w:r>
        <w:t xml:space="preserve"> </w:t>
      </w:r>
      <w:r>
        <w:t xml:space="preserve">Opus 5.5; Anthropic) drafted the analysis code, the scripts that generate this manuscript’s tables and figures, and</w:t>
      </w:r>
      <w:r>
        <w:t xml:space="preserve"> </w:t>
      </w:r>
      <w:r>
        <w:t xml:space="preserve">parts of the text under the author’s direction, and separate instances reviewed the plan, the code and the</w:t>
      </w:r>
      <w:r>
        <w:t xml:space="preserve"> </w:t>
      </w:r>
      <w:r>
        <w:t xml:space="preserve">manuscript. The author reviewed and edited all output and verified the numbers against the results files.</w:t>
      </w:r>
    </w:p>
    <w:bookmarkEnd w:id="45"/>
    <w:bookmarkStart w:id="156" w:name="references"/>
    <w:p>
      <w:pPr>
        <w:pStyle w:val="Heading1"/>
      </w:pPr>
      <w:r>
        <w:t xml:space="preserve">References</w:t>
      </w:r>
    </w:p>
    <w:bookmarkStart w:id="155" w:name="refs"/>
    <w:bookmarkStart w:id="47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46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47"/>
    <w:bookmarkStart w:id="49" w:name="ref-cfr42560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48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49"/>
    <w:bookmarkStart w:id="51" w:name="ref-mcwilliams2016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50">
        <w:r>
          <w:rPr>
            <w:rStyle w:val="Hyperlink"/>
          </w:rPr>
          <w:t xml:space="preserve">10.1056/nejmsa1600142</w:t>
        </w:r>
      </w:hyperlink>
    </w:p>
    <w:bookmarkEnd w:id="51"/>
    <w:bookmarkStart w:id="53" w:name="ref-mcwilliams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52">
        <w:r>
          <w:rPr>
            <w:rStyle w:val="Hyperlink"/>
          </w:rPr>
          <w:t xml:space="preserve">10.1056/nejmsa1803388</w:t>
        </w:r>
      </w:hyperlink>
    </w:p>
    <w:bookmarkEnd w:id="53"/>
    <w:bookmarkStart w:id="55" w:name="ref-bond2025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54">
        <w:r>
          <w:rPr>
            <w:rStyle w:val="Hyperlink"/>
          </w:rPr>
          <w:t xml:space="preserve">10.1001/jama.2025.3870</w:t>
        </w:r>
      </w:hyperlink>
    </w:p>
    <w:bookmarkEnd w:id="55"/>
    <w:bookmarkStart w:id="57" w:name="ref-mcwilliams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56">
        <w:r>
          <w:rPr>
            <w:rStyle w:val="Hyperlink"/>
          </w:rPr>
          <w:t xml:space="preserve">10.1111/1468-0009.12468</w:t>
        </w:r>
      </w:hyperlink>
    </w:p>
    <w:bookmarkEnd w:id="57"/>
    <w:bookmarkStart w:id="59" w:name="ref-markovitz2019exi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58">
        <w:r>
          <w:rPr>
            <w:rStyle w:val="Hyperlink"/>
          </w:rPr>
          <w:t xml:space="preserve">10.7326/m18-2539</w:t>
        </w:r>
      </w:hyperlink>
    </w:p>
    <w:bookmarkEnd w:id="59"/>
    <w:bookmarkStart w:id="61" w:name="ref-markovitz2019risk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60">
        <w:r>
          <w:rPr>
            <w:rStyle w:val="Hyperlink"/>
          </w:rPr>
          <w:t xml:space="preserve">10.1377/hlthaff.2018.05407</w:t>
        </w:r>
      </w:hyperlink>
    </w:p>
    <w:bookmarkEnd w:id="61"/>
    <w:bookmarkStart w:id="63" w:name="ref-douven2015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62">
        <w:r>
          <w:rPr>
            <w:rStyle w:val="Hyperlink"/>
          </w:rPr>
          <w:t xml:space="preserve">10.1377/hlthaff.2014.0444</w:t>
        </w:r>
      </w:hyperlink>
    </w:p>
    <w:bookmarkEnd w:id="63"/>
    <w:bookmarkStart w:id="65" w:name="ref-rose201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64">
        <w:r>
          <w:rPr>
            <w:rStyle w:val="Hyperlink"/>
          </w:rPr>
          <w:t xml:space="preserve">10.1377/hlthaff.2015.1026</w:t>
        </w:r>
      </w:hyperlink>
    </w:p>
    <w:bookmarkEnd w:id="65"/>
    <w:bookmarkStart w:id="67" w:name="ref-lyu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66">
        <w:r>
          <w:rPr>
            <w:rStyle w:val="Hyperlink"/>
          </w:rPr>
          <w:t xml:space="preserve">10.1377/hlthaff.2022.01061</w:t>
        </w:r>
      </w:hyperlink>
    </w:p>
    <w:bookmarkEnd w:id="67"/>
    <w:bookmarkStart w:id="69" w:name="ref-chen202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68">
        <w:r>
          <w:rPr>
            <w:rStyle w:val="Hyperlink"/>
          </w:rPr>
          <w:t xml:space="preserve">10.1086/726748</w:t>
        </w:r>
      </w:hyperlink>
    </w:p>
    <w:bookmarkEnd w:id="69"/>
    <w:bookmarkStart w:id="71" w:name="ref-srivastava202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70">
        <w:r>
          <w:rPr>
            <w:rStyle w:val="Hyperlink"/>
          </w:rPr>
          <w:t xml:space="preserve">10.1001/jamanetworkopen.2026.0166</w:t>
        </w:r>
      </w:hyperlink>
    </w:p>
    <w:bookmarkEnd w:id="71"/>
    <w:bookmarkStart w:id="73" w:name="ref-bleser2019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72">
        <w:r>
          <w:rPr>
            <w:rStyle w:val="Hyperlink"/>
          </w:rPr>
          <w:t xml:space="preserve">10.1377/hlthaff.2018.05097</w:t>
        </w:r>
      </w:hyperlink>
    </w:p>
    <w:bookmarkEnd w:id="73"/>
    <w:bookmarkStart w:id="75" w:name="ref-zhu2023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74">
        <w:r>
          <w:rPr>
            <w:rStyle w:val="Hyperlink"/>
          </w:rPr>
          <w:t xml:space="preserve">10.1111/jrh.12672</w:t>
        </w:r>
      </w:hyperlink>
    </w:p>
    <w:bookmarkEnd w:id="75"/>
    <w:bookmarkStart w:id="77" w:name="ref-ying2023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76">
        <w:r>
          <w:rPr>
            <w:rStyle w:val="Hyperlink"/>
          </w:rPr>
          <w:t xml:space="preserve">10.1007/s11606-022-07947-x</w:t>
        </w:r>
      </w:hyperlink>
    </w:p>
    <w:bookmarkEnd w:id="77"/>
    <w:bookmarkStart w:id="79" w:name="ref-ying2024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78">
        <w:r>
          <w:rPr>
            <w:rStyle w:val="Hyperlink"/>
          </w:rPr>
          <w:t xml:space="preserve">10.1093/haschl/qxad093</w:t>
        </w:r>
      </w:hyperlink>
    </w:p>
    <w:bookmarkEnd w:id="79"/>
    <w:bookmarkStart w:id="81" w:name="ref-moloci202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80">
        <w:r>
          <w:rPr>
            <w:rStyle w:val="Hyperlink"/>
          </w:rPr>
          <w:t xml:space="preserve">10.1007/s11606-020-06424-7</w:t>
        </w:r>
      </w:hyperlink>
    </w:p>
    <w:bookmarkEnd w:id="81"/>
    <w:bookmarkStart w:id="83" w:name="ref-trombley202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82">
        <w:r>
          <w:rPr>
            <w:rStyle w:val="Hyperlink"/>
          </w:rPr>
          <w:t xml:space="preserve">10.1377/hlthaff.2020.01819</w:t>
        </w:r>
      </w:hyperlink>
    </w:p>
    <w:bookmarkEnd w:id="83"/>
    <w:bookmarkStart w:id="85" w:name="ref-frpathway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84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85"/>
    <w:bookmarkStart w:id="87" w:name="ref-dataaco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86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87"/>
    <w:bookmarkStart w:id="88" w:name="ref-registration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88"/>
    <w:bookmarkStart w:id="90" w:name="ref-vonelm2007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89">
        <w:r>
          <w:rPr>
            <w:rStyle w:val="Hyperlink"/>
          </w:rPr>
          <w:t xml:space="preserve">10.1371/journal.pmed.0040296</w:t>
        </w:r>
      </w:hyperlink>
    </w:p>
    <w:bookmarkEnd w:id="90"/>
    <w:bookmarkStart w:id="92" w:name="ref-code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91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92"/>
    <w:bookmarkStart w:id="94" w:name="ref-dataresults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93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94"/>
    <w:bookmarkStart w:id="96" w:name="ref-datacounty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95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96"/>
    <w:bookmarkStart w:id="98" w:name="ref-dataassigned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97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98"/>
    <w:bookmarkStart w:id="100" w:name="ref-osfprojec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99">
        <w:r>
          <w:rPr>
            <w:rStyle w:val="Hyperlink"/>
          </w:rPr>
          <w:t xml:space="preserve">10.17605/OSF.IO/Z4AN5</w:t>
        </w:r>
      </w:hyperlink>
    </w:p>
    <w:bookmarkEnd w:id="100"/>
    <w:bookmarkStart w:id="102" w:name="ref-suppression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01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02"/>
    <w:bookmarkStart w:id="104" w:name="ref-specv10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03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04"/>
    <w:bookmarkStart w:id="106" w:name="ref-rubin1981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05">
        <w:r>
          <w:rPr>
            <w:rStyle w:val="Hyperlink"/>
          </w:rPr>
          <w:t xml:space="preserve">10.1214/aos/1176345338</w:t>
        </w:r>
      </w:hyperlink>
    </w:p>
    <w:bookmarkEnd w:id="106"/>
    <w:bookmarkStart w:id="108" w:name="ref-phipson2010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07">
        <w:r>
          <w:rPr>
            <w:rStyle w:val="Hyperlink"/>
          </w:rPr>
          <w:t xml:space="preserve">10.2202/1544-6115.1585</w:t>
        </w:r>
      </w:hyperlink>
    </w:p>
    <w:bookmarkEnd w:id="108"/>
    <w:bookmarkStart w:id="110" w:name="ref-pymc2023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09">
        <w:r>
          <w:rPr>
            <w:rStyle w:val="Hyperlink"/>
          </w:rPr>
          <w:t xml:space="preserve">10.7717/peerj-cs.1516</w:t>
        </w:r>
      </w:hyperlink>
    </w:p>
    <w:bookmarkEnd w:id="110"/>
    <w:bookmarkStart w:id="112" w:name="ref-hoffman2014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11">
        <w:r>
          <w:rPr>
            <w:rStyle w:val="Hyperlink"/>
          </w:rPr>
          <w:t xml:space="preserve">https://jmlr.org/papers/v15/hoffman14a.html</w:t>
        </w:r>
      </w:hyperlink>
    </w:p>
    <w:bookmarkEnd w:id="112"/>
    <w:bookmarkStart w:id="114" w:name="ref-gelman2008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13">
        <w:r>
          <w:rPr>
            <w:rStyle w:val="Hyperlink"/>
          </w:rPr>
          <w:t xml:space="preserve">10.1002/sim.3107</w:t>
        </w:r>
      </w:hyperlink>
    </w:p>
    <w:bookmarkEnd w:id="114"/>
    <w:bookmarkStart w:id="116" w:name="ref-vehtari2021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15">
        <w:r>
          <w:rPr>
            <w:rStyle w:val="Hyperlink"/>
          </w:rPr>
          <w:t xml:space="preserve">10.1214/20-ba1221</w:t>
        </w:r>
      </w:hyperlink>
    </w:p>
    <w:bookmarkEnd w:id="116"/>
    <w:bookmarkStart w:id="118" w:name="ref-firth1993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17">
        <w:r>
          <w:rPr>
            <w:rStyle w:val="Hyperlink"/>
          </w:rPr>
          <w:t xml:space="preserve">10.1093/biomet/80.1.27</w:t>
        </w:r>
      </w:hyperlink>
    </w:p>
    <w:bookmarkEnd w:id="118"/>
    <w:bookmarkStart w:id="120" w:name="ref-firthmodels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19">
        <w:r>
          <w:rPr>
            <w:rStyle w:val="Hyperlink"/>
          </w:rPr>
          <w:t xml:space="preserve">https://github.com/jzluo/firthmodels</w:t>
        </w:r>
      </w:hyperlink>
    </w:p>
    <w:bookmarkEnd w:id="120"/>
    <w:bookmarkStart w:id="122" w:name="ref-gelmanprior2008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21">
        <w:r>
          <w:rPr>
            <w:rStyle w:val="Hyperlink"/>
          </w:rPr>
          <w:t xml:space="preserve">10.1214/08-aoas191</w:t>
        </w:r>
      </w:hyperlink>
    </w:p>
    <w:bookmarkEnd w:id="122"/>
    <w:bookmarkStart w:id="124" w:name="ref-callaway2021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23">
        <w:r>
          <w:rPr>
            <w:rStyle w:val="Hyperlink"/>
          </w:rPr>
          <w:t xml:space="preserve">10.1016/j.jeconom.2020.12.001</w:t>
        </w:r>
      </w:hyperlink>
    </w:p>
    <w:bookmarkEnd w:id="124"/>
    <w:bookmarkStart w:id="126" w:name="ref-roth2022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25">
        <w:r>
          <w:rPr>
            <w:rStyle w:val="Hyperlink"/>
          </w:rPr>
          <w:t xml:space="preserve">10.1257/aeri.20210236</w:t>
        </w:r>
      </w:hyperlink>
    </w:p>
    <w:bookmarkEnd w:id="126"/>
    <w:bookmarkStart w:id="128" w:name="ref-lakens2017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27">
        <w:r>
          <w:rPr>
            <w:rStyle w:val="Hyperlink"/>
          </w:rPr>
          <w:t xml:space="preserve">10.1177/1948550617697177</w:t>
        </w:r>
      </w:hyperlink>
    </w:p>
    <w:bookmarkEnd w:id="128"/>
    <w:bookmarkStart w:id="130" w:name="ref-rambachan2023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29">
        <w:r>
          <w:rPr>
            <w:rStyle w:val="Hyperlink"/>
          </w:rPr>
          <w:t xml:space="preserve">10.1093/restud/rdad018</w:t>
        </w:r>
      </w:hyperlink>
    </w:p>
    <w:bookmarkEnd w:id="130"/>
    <w:bookmarkStart w:id="132" w:name="ref-rosenbaum1983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31">
        <w:r>
          <w:rPr>
            <w:rStyle w:val="Hyperlink"/>
          </w:rPr>
          <w:t xml:space="preserve">10.1093/biomet/70.1.41</w:t>
        </w:r>
      </w:hyperlink>
    </w:p>
    <w:bookmarkEnd w:id="132"/>
    <w:bookmarkStart w:id="134" w:name="ref-welch1947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33">
        <w:r>
          <w:rPr>
            <w:rStyle w:val="Hyperlink"/>
          </w:rPr>
          <w:t xml:space="preserve">10.1093/biomet/34.1-2.28</w:t>
        </w:r>
      </w:hyperlink>
    </w:p>
    <w:bookmarkEnd w:id="134"/>
    <w:bookmarkStart w:id="136" w:name="ref-mackinnon1985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35">
        <w:r>
          <w:rPr>
            <w:rStyle w:val="Hyperlink"/>
          </w:rPr>
          <w:t xml:space="preserve">10.1016/0304-4076(85)90158-7</w:t>
        </w:r>
      </w:hyperlink>
    </w:p>
    <w:bookmarkEnd w:id="136"/>
    <w:bookmarkStart w:id="138" w:name="ref-statsmodels2010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37">
        <w:r>
          <w:rPr>
            <w:rStyle w:val="Hyperlink"/>
          </w:rPr>
          <w:t xml:space="preserve">10.25080/majora-92bf1922-011</w:t>
        </w:r>
      </w:hyperlink>
    </w:p>
    <w:bookmarkEnd w:id="138"/>
    <w:bookmarkStart w:id="140" w:name="ref-dbt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39">
        <w:r>
          <w:rPr>
            <w:rStyle w:val="Hyperlink"/>
          </w:rPr>
          <w:t xml:space="preserve">https://github.com/dbt-labs/dbt-core</w:t>
        </w:r>
      </w:hyperlink>
    </w:p>
    <w:bookmarkEnd w:id="140"/>
    <w:bookmarkStart w:id="142" w:name="ref-duckdb2019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41">
        <w:r>
          <w:rPr>
            <w:rStyle w:val="Hyperlink"/>
          </w:rPr>
          <w:t xml:space="preserve">10.1145/3299869.3320212</w:t>
        </w:r>
      </w:hyperlink>
    </w:p>
    <w:bookmarkEnd w:id="142"/>
    <w:bookmarkStart w:id="144" w:name="ref-uv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43">
        <w:r>
          <w:rPr>
            <w:rStyle w:val="Hyperlink"/>
          </w:rPr>
          <w:t xml:space="preserve">https://github.com/astral-sh/uv</w:t>
        </w:r>
      </w:hyperlink>
    </w:p>
    <w:bookmarkEnd w:id="144"/>
    <w:bookmarkStart w:id="146" w:name="ref-arviz2019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45">
        <w:r>
          <w:rPr>
            <w:rStyle w:val="Hyperlink"/>
          </w:rPr>
          <w:t xml:space="preserve">10.21105/joss.01143</w:t>
        </w:r>
      </w:hyperlink>
    </w:p>
    <w:bookmarkEnd w:id="146"/>
    <w:bookmarkStart w:id="148" w:name="ref-numpy2020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47">
        <w:r>
          <w:rPr>
            <w:rStyle w:val="Hyperlink"/>
          </w:rPr>
          <w:t xml:space="preserve">10.1038/s41586-020-2649-2</w:t>
        </w:r>
      </w:hyperlink>
    </w:p>
    <w:bookmarkEnd w:id="148"/>
    <w:bookmarkStart w:id="150" w:name="ref-gelmancarlin2014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49">
        <w:r>
          <w:rPr>
            <w:rStyle w:val="Hyperlink"/>
          </w:rPr>
          <w:t xml:space="preserve">10.1177/1745691614551642</w:t>
        </w:r>
      </w:hyperlink>
    </w:p>
    <w:bookmarkEnd w:id="150"/>
    <w:bookmarkStart w:id="152" w:name="ref-cfr2024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51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52"/>
    <w:bookmarkStart w:id="154" w:name="ref-post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53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54"/>
    <w:bookmarkEnd w:id="155"/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86" Target="https://data.cms.gov/medicare-shared-savings-program/accountable-care-organizations" TargetMode="External" /><Relationship Type="http://schemas.openxmlformats.org/officeDocument/2006/relationships/hyperlink" Id="rId95" Target="https://data.cms.gov/medicare-shared-savings-program/county-level-aggregate-expenditure-and-risk-score-data-on-assignable-beneficiaries" TargetMode="External" /><Relationship Type="http://schemas.openxmlformats.org/officeDocument/2006/relationships/hyperlink" Id="rId97" Target="https://data.cms.gov/medicare-shared-savings-program/number-of-accountable-care-organization-assigned-beneficiaries-by-county" TargetMode="External" /><Relationship Type="http://schemas.openxmlformats.org/officeDocument/2006/relationships/hyperlink" Id="rId93" Target="https://data.cms.gov/medicare-shared-savings-program/performance-year-financial-and-quality-results" TargetMode="External" /><Relationship Type="http://schemas.openxmlformats.org/officeDocument/2006/relationships/hyperlink" Id="rId54" Target="https://doi.org/10.1001/jama.2025.3870" TargetMode="External" /><Relationship Type="http://schemas.openxmlformats.org/officeDocument/2006/relationships/hyperlink" Id="rId70" Target="https://doi.org/10.1001/jamanetworkopen.2026.0166" TargetMode="External" /><Relationship Type="http://schemas.openxmlformats.org/officeDocument/2006/relationships/hyperlink" Id="rId113" Target="https://doi.org/10.1002/sim.3107" TargetMode="External" /><Relationship Type="http://schemas.openxmlformats.org/officeDocument/2006/relationships/hyperlink" Id="rId80" Target="https://doi.org/10.1007/s11606-020-06424-7" TargetMode="External" /><Relationship Type="http://schemas.openxmlformats.org/officeDocument/2006/relationships/hyperlink" Id="rId76" Target="https://doi.org/10.1007/s11606-022-07947-x" TargetMode="External" /><Relationship Type="http://schemas.openxmlformats.org/officeDocument/2006/relationships/hyperlink" Id="rId135" Target="https://doi.org/10.1016/0304-4076(85)90158-7" TargetMode="External" /><Relationship Type="http://schemas.openxmlformats.org/officeDocument/2006/relationships/hyperlink" Id="rId123" Target="https://doi.org/10.1016/j.jeconom.2020.12.001" TargetMode="External" /><Relationship Type="http://schemas.openxmlformats.org/officeDocument/2006/relationships/hyperlink" Id="rId147" Target="https://doi.org/10.1038/s41586-020-2649-2" TargetMode="External" /><Relationship Type="http://schemas.openxmlformats.org/officeDocument/2006/relationships/hyperlink" Id="rId50" Target="https://doi.org/10.1056/nejmsa1600142" TargetMode="External" /><Relationship Type="http://schemas.openxmlformats.org/officeDocument/2006/relationships/hyperlink" Id="rId52" Target="https://doi.org/10.1056/nejmsa1803388" TargetMode="External" /><Relationship Type="http://schemas.openxmlformats.org/officeDocument/2006/relationships/hyperlink" Id="rId68" Target="https://doi.org/10.1086/726748" TargetMode="External" /><Relationship Type="http://schemas.openxmlformats.org/officeDocument/2006/relationships/hyperlink" Id="rId133" Target="https://doi.org/10.1093/biomet/34.1-2.28" TargetMode="External" /><Relationship Type="http://schemas.openxmlformats.org/officeDocument/2006/relationships/hyperlink" Id="rId131" Target="https://doi.org/10.1093/biomet/70.1.41" TargetMode="External" /><Relationship Type="http://schemas.openxmlformats.org/officeDocument/2006/relationships/hyperlink" Id="rId117" Target="https://doi.org/10.1093/biomet/80.1.27" TargetMode="External" /><Relationship Type="http://schemas.openxmlformats.org/officeDocument/2006/relationships/hyperlink" Id="rId78" Target="https://doi.org/10.1093/haschl/qxad093" TargetMode="External" /><Relationship Type="http://schemas.openxmlformats.org/officeDocument/2006/relationships/hyperlink" Id="rId129" Target="https://doi.org/10.1093/restud/rdad018" TargetMode="External" /><Relationship Type="http://schemas.openxmlformats.org/officeDocument/2006/relationships/hyperlink" Id="rId56" Target="https://doi.org/10.1111/1468-0009.12468" TargetMode="External" /><Relationship Type="http://schemas.openxmlformats.org/officeDocument/2006/relationships/hyperlink" Id="rId74" Target="https://doi.org/10.1111/jrh.12672" TargetMode="External" /><Relationship Type="http://schemas.openxmlformats.org/officeDocument/2006/relationships/hyperlink" Id="rId141" Target="https://doi.org/10.1145/3299869.3320212" TargetMode="External" /><Relationship Type="http://schemas.openxmlformats.org/officeDocument/2006/relationships/hyperlink" Id="rId149" Target="https://doi.org/10.1177/1745691614551642" TargetMode="External" /><Relationship Type="http://schemas.openxmlformats.org/officeDocument/2006/relationships/hyperlink" Id="rId127" Target="https://doi.org/10.1177/1948550617697177" TargetMode="External" /><Relationship Type="http://schemas.openxmlformats.org/officeDocument/2006/relationships/hyperlink" Id="rId121" Target="https://doi.org/10.1214/08-aoas191" TargetMode="External" /><Relationship Type="http://schemas.openxmlformats.org/officeDocument/2006/relationships/hyperlink" Id="rId115" Target="https://doi.org/10.1214/20-ba1221" TargetMode="External" /><Relationship Type="http://schemas.openxmlformats.org/officeDocument/2006/relationships/hyperlink" Id="rId105" Target="https://doi.org/10.1214/aos/1176345338" TargetMode="External" /><Relationship Type="http://schemas.openxmlformats.org/officeDocument/2006/relationships/hyperlink" Id="rId125" Target="https://doi.org/10.1257/aeri.20210236" TargetMode="External" /><Relationship Type="http://schemas.openxmlformats.org/officeDocument/2006/relationships/hyperlink" Id="rId89" Target="https://doi.org/10.1371/journal.pmed.0040296" TargetMode="External" /><Relationship Type="http://schemas.openxmlformats.org/officeDocument/2006/relationships/hyperlink" Id="rId62" Target="https://doi.org/10.1377/hlthaff.2014.0444" TargetMode="External" /><Relationship Type="http://schemas.openxmlformats.org/officeDocument/2006/relationships/hyperlink" Id="rId64" Target="https://doi.org/10.1377/hlthaff.2015.1026" TargetMode="External" /><Relationship Type="http://schemas.openxmlformats.org/officeDocument/2006/relationships/hyperlink" Id="rId72" Target="https://doi.org/10.1377/hlthaff.2018.05097" TargetMode="External" /><Relationship Type="http://schemas.openxmlformats.org/officeDocument/2006/relationships/hyperlink" Id="rId60" Target="https://doi.org/10.1377/hlthaff.2018.05407" TargetMode="External" /><Relationship Type="http://schemas.openxmlformats.org/officeDocument/2006/relationships/hyperlink" Id="rId82" Target="https://doi.org/10.1377/hlthaff.2020.01819" TargetMode="External" /><Relationship Type="http://schemas.openxmlformats.org/officeDocument/2006/relationships/hyperlink" Id="rId66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99" Target="https://doi.org/10.17605/OSF.IO/Z4AN5" TargetMode="External" /><Relationship Type="http://schemas.openxmlformats.org/officeDocument/2006/relationships/hyperlink" Id="rId145" Target="https://doi.org/10.21105/joss.01143" TargetMode="External" /><Relationship Type="http://schemas.openxmlformats.org/officeDocument/2006/relationships/hyperlink" Id="rId107" Target="https://doi.org/10.2202/1544-6115.1585" TargetMode="External" /><Relationship Type="http://schemas.openxmlformats.org/officeDocument/2006/relationships/hyperlink" Id="rId137" Target="https://doi.org/10.25080/majora-92bf1922-011" TargetMode="External" /><Relationship Type="http://schemas.openxmlformats.org/officeDocument/2006/relationships/hyperlink" Id="rId58" Target="https://doi.org/10.7326/m18-2539" TargetMode="External" /><Relationship Type="http://schemas.openxmlformats.org/officeDocument/2006/relationships/hyperlink" Id="rId109" Target="https://doi.org/10.7717/peerj-cs.1516" TargetMode="External" /><Relationship Type="http://schemas.openxmlformats.org/officeDocument/2006/relationships/hyperlink" Id="rId143" Target="https://github.com/astral-sh/uv" TargetMode="External" /><Relationship Type="http://schemas.openxmlformats.org/officeDocument/2006/relationships/hyperlink" Id="rId139" Target="https://github.com/dbt-labs/dbt-core" TargetMode="External" /><Relationship Type="http://schemas.openxmlformats.org/officeDocument/2006/relationships/hyperlink" Id="rId119" Target="https://github.com/jzluo/firthmodels" TargetMode="External" /><Relationship Type="http://schemas.openxmlformats.org/officeDocument/2006/relationships/hyperlink" Id="rId91" Target="https://github.com/stharrold/stharrold.github.io/tree/a4064f592a492d971ce3c27e95afb3050e6bc01d/analysis/mssp-benchmark-ratchet" TargetMode="External" /><Relationship Type="http://schemas.openxmlformats.org/officeDocument/2006/relationships/hyperlink" Id="rId111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53" Target="https://stharrold.github.io/20261027-preregistered-mssp-early-renewal.html" TargetMode="External" /><Relationship Type="http://schemas.openxmlformats.org/officeDocument/2006/relationships/hyperlink" Id="rId101" Target="https://web.archive.org/web/20250516214605/https://www.hhs.gov/guidance/document/cms-cell-suppression-policy" TargetMode="External" /><Relationship Type="http://schemas.openxmlformats.org/officeDocument/2006/relationships/hyperlink" Id="rId103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6" Target="https://www.ecfr.gov/on/2022-01-01/title-42/chapter-IV/subchapter-B/part-425" TargetMode="External" /><Relationship Type="http://schemas.openxmlformats.org/officeDocument/2006/relationships/hyperlink" Id="rId48" Target="https://www.ecfr.gov/on/2022-01-01/title-42/chapter-IV/subchapter-B/part-425/subpart-G/section-425.601" TargetMode="External" /><Relationship Type="http://schemas.openxmlformats.org/officeDocument/2006/relationships/hyperlink" Id="rId151" Target="https://www.ecfr.gov/on/2024-01-01/title-42/chapter-IV/subchapter-B/part-425/subpart-G/section-425.652" TargetMode="External" /><Relationship Type="http://schemas.openxmlformats.org/officeDocument/2006/relationships/hyperlink" Id="rId84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data.cms.gov/medicare-shared-savings-program/accountable-care-organizations" TargetMode="External" /><Relationship Type="http://schemas.openxmlformats.org/officeDocument/2006/relationships/hyperlink" Id="rId95" Target="https://data.cms.gov/medicare-shared-savings-program/county-level-aggregate-expenditure-and-risk-score-data-on-assignable-beneficiaries" TargetMode="External" /><Relationship Type="http://schemas.openxmlformats.org/officeDocument/2006/relationships/hyperlink" Id="rId97" Target="https://data.cms.gov/medicare-shared-savings-program/number-of-accountable-care-organization-assigned-beneficiaries-by-county" TargetMode="External" /><Relationship Type="http://schemas.openxmlformats.org/officeDocument/2006/relationships/hyperlink" Id="rId93" Target="https://data.cms.gov/medicare-shared-savings-program/performance-year-financial-and-quality-results" TargetMode="External" /><Relationship Type="http://schemas.openxmlformats.org/officeDocument/2006/relationships/hyperlink" Id="rId54" Target="https://doi.org/10.1001/jama.2025.3870" TargetMode="External" /><Relationship Type="http://schemas.openxmlformats.org/officeDocument/2006/relationships/hyperlink" Id="rId70" Target="https://doi.org/10.1001/jamanetworkopen.2026.0166" TargetMode="External" /><Relationship Type="http://schemas.openxmlformats.org/officeDocument/2006/relationships/hyperlink" Id="rId113" Target="https://doi.org/10.1002/sim.3107" TargetMode="External" /><Relationship Type="http://schemas.openxmlformats.org/officeDocument/2006/relationships/hyperlink" Id="rId80" Target="https://doi.org/10.1007/s11606-020-06424-7" TargetMode="External" /><Relationship Type="http://schemas.openxmlformats.org/officeDocument/2006/relationships/hyperlink" Id="rId76" Target="https://doi.org/10.1007/s11606-022-07947-x" TargetMode="External" /><Relationship Type="http://schemas.openxmlformats.org/officeDocument/2006/relationships/hyperlink" Id="rId135" Target="https://doi.org/10.1016/0304-4076(85)90158-7" TargetMode="External" /><Relationship Type="http://schemas.openxmlformats.org/officeDocument/2006/relationships/hyperlink" Id="rId123" Target="https://doi.org/10.1016/j.jeconom.2020.12.001" TargetMode="External" /><Relationship Type="http://schemas.openxmlformats.org/officeDocument/2006/relationships/hyperlink" Id="rId147" Target="https://doi.org/10.1038/s41586-020-2649-2" TargetMode="External" /><Relationship Type="http://schemas.openxmlformats.org/officeDocument/2006/relationships/hyperlink" Id="rId50" Target="https://doi.org/10.1056/nejmsa1600142" TargetMode="External" /><Relationship Type="http://schemas.openxmlformats.org/officeDocument/2006/relationships/hyperlink" Id="rId52" Target="https://doi.org/10.1056/nejmsa1803388" TargetMode="External" /><Relationship Type="http://schemas.openxmlformats.org/officeDocument/2006/relationships/hyperlink" Id="rId68" Target="https://doi.org/10.1086/726748" TargetMode="External" /><Relationship Type="http://schemas.openxmlformats.org/officeDocument/2006/relationships/hyperlink" Id="rId133" Target="https://doi.org/10.1093/biomet/34.1-2.28" TargetMode="External" /><Relationship Type="http://schemas.openxmlformats.org/officeDocument/2006/relationships/hyperlink" Id="rId131" Target="https://doi.org/10.1093/biomet/70.1.41" TargetMode="External" /><Relationship Type="http://schemas.openxmlformats.org/officeDocument/2006/relationships/hyperlink" Id="rId117" Target="https://doi.org/10.1093/biomet/80.1.27" TargetMode="External" /><Relationship Type="http://schemas.openxmlformats.org/officeDocument/2006/relationships/hyperlink" Id="rId78" Target="https://doi.org/10.1093/haschl/qxad093" TargetMode="External" /><Relationship Type="http://schemas.openxmlformats.org/officeDocument/2006/relationships/hyperlink" Id="rId129" Target="https://doi.org/10.1093/restud/rdad018" TargetMode="External" /><Relationship Type="http://schemas.openxmlformats.org/officeDocument/2006/relationships/hyperlink" Id="rId56" Target="https://doi.org/10.1111/1468-0009.12468" TargetMode="External" /><Relationship Type="http://schemas.openxmlformats.org/officeDocument/2006/relationships/hyperlink" Id="rId74" Target="https://doi.org/10.1111/jrh.12672" TargetMode="External" /><Relationship Type="http://schemas.openxmlformats.org/officeDocument/2006/relationships/hyperlink" Id="rId141" Target="https://doi.org/10.1145/3299869.3320212" TargetMode="External" /><Relationship Type="http://schemas.openxmlformats.org/officeDocument/2006/relationships/hyperlink" Id="rId149" Target="https://doi.org/10.1177/1745691614551642" TargetMode="External" /><Relationship Type="http://schemas.openxmlformats.org/officeDocument/2006/relationships/hyperlink" Id="rId127" Target="https://doi.org/10.1177/1948550617697177" TargetMode="External" /><Relationship Type="http://schemas.openxmlformats.org/officeDocument/2006/relationships/hyperlink" Id="rId121" Target="https://doi.org/10.1214/08-aoas191" TargetMode="External" /><Relationship Type="http://schemas.openxmlformats.org/officeDocument/2006/relationships/hyperlink" Id="rId115" Target="https://doi.org/10.1214/20-ba1221" TargetMode="External" /><Relationship Type="http://schemas.openxmlformats.org/officeDocument/2006/relationships/hyperlink" Id="rId105" Target="https://doi.org/10.1214/aos/1176345338" TargetMode="External" /><Relationship Type="http://schemas.openxmlformats.org/officeDocument/2006/relationships/hyperlink" Id="rId125" Target="https://doi.org/10.1257/aeri.20210236" TargetMode="External" /><Relationship Type="http://schemas.openxmlformats.org/officeDocument/2006/relationships/hyperlink" Id="rId89" Target="https://doi.org/10.1371/journal.pmed.0040296" TargetMode="External" /><Relationship Type="http://schemas.openxmlformats.org/officeDocument/2006/relationships/hyperlink" Id="rId62" Target="https://doi.org/10.1377/hlthaff.2014.0444" TargetMode="External" /><Relationship Type="http://schemas.openxmlformats.org/officeDocument/2006/relationships/hyperlink" Id="rId64" Target="https://doi.org/10.1377/hlthaff.2015.1026" TargetMode="External" /><Relationship Type="http://schemas.openxmlformats.org/officeDocument/2006/relationships/hyperlink" Id="rId72" Target="https://doi.org/10.1377/hlthaff.2018.05097" TargetMode="External" /><Relationship Type="http://schemas.openxmlformats.org/officeDocument/2006/relationships/hyperlink" Id="rId60" Target="https://doi.org/10.1377/hlthaff.2018.05407" TargetMode="External" /><Relationship Type="http://schemas.openxmlformats.org/officeDocument/2006/relationships/hyperlink" Id="rId82" Target="https://doi.org/10.1377/hlthaff.2020.01819" TargetMode="External" /><Relationship Type="http://schemas.openxmlformats.org/officeDocument/2006/relationships/hyperlink" Id="rId66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99" Target="https://doi.org/10.17605/OSF.IO/Z4AN5" TargetMode="External" /><Relationship Type="http://schemas.openxmlformats.org/officeDocument/2006/relationships/hyperlink" Id="rId145" Target="https://doi.org/10.21105/joss.01143" TargetMode="External" /><Relationship Type="http://schemas.openxmlformats.org/officeDocument/2006/relationships/hyperlink" Id="rId107" Target="https://doi.org/10.2202/1544-6115.1585" TargetMode="External" /><Relationship Type="http://schemas.openxmlformats.org/officeDocument/2006/relationships/hyperlink" Id="rId137" Target="https://doi.org/10.25080/majora-92bf1922-011" TargetMode="External" /><Relationship Type="http://schemas.openxmlformats.org/officeDocument/2006/relationships/hyperlink" Id="rId58" Target="https://doi.org/10.7326/m18-2539" TargetMode="External" /><Relationship Type="http://schemas.openxmlformats.org/officeDocument/2006/relationships/hyperlink" Id="rId109" Target="https://doi.org/10.7717/peerj-cs.1516" TargetMode="External" /><Relationship Type="http://schemas.openxmlformats.org/officeDocument/2006/relationships/hyperlink" Id="rId143" Target="https://github.com/astral-sh/uv" TargetMode="External" /><Relationship Type="http://schemas.openxmlformats.org/officeDocument/2006/relationships/hyperlink" Id="rId139" Target="https://github.com/dbt-labs/dbt-core" TargetMode="External" /><Relationship Type="http://schemas.openxmlformats.org/officeDocument/2006/relationships/hyperlink" Id="rId119" Target="https://github.com/jzluo/firthmodels" TargetMode="External" /><Relationship Type="http://schemas.openxmlformats.org/officeDocument/2006/relationships/hyperlink" Id="rId91" Target="https://github.com/stharrold/stharrold.github.io/tree/a4064f592a492d971ce3c27e95afb3050e6bc01d/analysis/mssp-benchmark-ratchet" TargetMode="External" /><Relationship Type="http://schemas.openxmlformats.org/officeDocument/2006/relationships/hyperlink" Id="rId111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53" Target="https://stharrold.github.io/20261027-preregistered-mssp-early-renewal.html" TargetMode="External" /><Relationship Type="http://schemas.openxmlformats.org/officeDocument/2006/relationships/hyperlink" Id="rId101" Target="https://web.archive.org/web/20250516214605/https://www.hhs.gov/guidance/document/cms-cell-suppression-policy" TargetMode="External" /><Relationship Type="http://schemas.openxmlformats.org/officeDocument/2006/relationships/hyperlink" Id="rId103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6" Target="https://www.ecfr.gov/on/2022-01-01/title-42/chapter-IV/subchapter-B/part-425" TargetMode="External" /><Relationship Type="http://schemas.openxmlformats.org/officeDocument/2006/relationships/hyperlink" Id="rId48" Target="https://www.ecfr.gov/on/2022-01-01/title-42/chapter-IV/subchapter-B/part-425/subpart-G/section-425.601" TargetMode="External" /><Relationship Type="http://schemas.openxmlformats.org/officeDocument/2006/relationships/hyperlink" Id="rId151" Target="https://www.ecfr.gov/on/2024-01-01/title-42/chapter-IV/subchapter-B/part-425/subpart-G/section-425.652" TargetMode="External" /><Relationship Type="http://schemas.openxmlformats.org/officeDocument/2006/relationships/hyperlink" Id="rId84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did Medicare ACOs reset their benchmarks early? A pre-registered analysis of early renewal in the Medicare Shared Savings Program</dc:title>
  <dc:creator>Samuel Thomas Harrold</dc:creator>
  <dc:language>en-US</dc:language>
  <cp:keywords/>
  <dcterms:created xsi:type="dcterms:W3CDTF">2026-10-27T18:51:18Z</dcterms:created>
  <dcterms:modified xsi:type="dcterms:W3CDTF">2026-10-27T18:51:18Z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Preprint, 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