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Original Paper</w:t>
      </w:r>
    </w:p>
    <w:p>
      <w:pPr>
        <w:pStyle w:val="BodyText"/>
      </w:pPr>
      <w:r>
        <w:t xml:space="preserve">Samuel Thomas Harrold, 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Corresponding Author: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Medicare Shared Savings Program (MSSP) benchmarks are reset at each new agreement from an accountable</w:t>
      </w:r>
      <w:r>
        <w:t xml:space="preserve"> </w:t>
      </w:r>
      <w:r>
        <w:t xml:space="preserve">care organization’s (ACO’s) recent spending, adjusted toward its region. ACOs could end an agreement early to reset</w:t>
      </w:r>
      <w:r>
        <w:t xml:space="preserve"> </w:t>
      </w:r>
      <w:r>
        <w:t xml:space="preserve">sooner, which was also the only way for an ACO in the BASIC track to reach the ENHANCED track’s 75% share of savings.</w:t>
      </w:r>
      <w:r>
        <w:t xml:space="preserve"> </w:t>
      </w:r>
      <w:r>
        <w:t xml:space="preserve">Why ACOs renewed early has not been studied in</w:t>
      </w:r>
      <w:r>
        <w:t xml:space="preserve"> </w:t>
      </w:r>
      <w:r>
        <w:t xml:space="preserve">peer-reviewed work.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aimed to describe which ACOs renewed early, weighing a reset motive (a higher benchmark)</w:t>
      </w:r>
      <w:r>
        <w:t xml:space="preserve"> </w:t>
      </w:r>
      <w:r>
        <w:t xml:space="preserve">against a sharing-rate motive (the move to ENHANCED), and to compare their spending growth afterward.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This preregistered retrospective cohort study included the 334 MSSP ACOs whose agreements began July 1,</w:t>
      </w:r>
      <w:r>
        <w:t xml:space="preserve"> </w:t>
      </w:r>
      <w:r>
        <w:t xml:space="preserve">2019 or January 1, 2020, using Centers for Medicare &amp; Medicaid Services (CMS) public use files (2016-2024). The plan, decision rules and code were registered before</w:t>
      </w:r>
      <w:r>
        <w:t xml:space="preserve"> </w:t>
      </w:r>
      <w:r>
        <w:t xml:space="preserve">outcome data were read. The reset benchmark was rebuilt from 42</w:t>
      </w:r>
      <w:r>
        <w:t xml:space="preserve"> </w:t>
      </w:r>
      <w:r>
        <w:t xml:space="preserve">CFR 425.601 and validated against published benchmarks for</w:t>
      </w:r>
      <w:r>
        <w:t xml:space="preserve"> </w:t>
      </w:r>
      <w:r>
        <w:t xml:space="preserve">101 other ACOs before use. For early renewal into a</w:t>
      </w:r>
      <w:r>
        <w:t xml:space="preserve"> </w:t>
      </w:r>
      <w:r>
        <w:t xml:space="preserve">January 1, 2022 agreement (29 ACOs vs 277 that stayed), the primary measure was the regional pull (case-mix-adjusted</w:t>
      </w:r>
      <w:r>
        <w:t xml:space="preserve"> </w:t>
      </w:r>
      <w:r>
        <w:t xml:space="preserve">regional spending relative to the current benchmark); the own-spending component and</w:t>
      </w:r>
      <w:r>
        <w:t xml:space="preserve"> </w:t>
      </w:r>
      <w:r>
        <w:t xml:space="preserve">BASIC risk level were also examined. Groups were compared by Bayesian bootstrap and permutation tests, and early renewal was modeled by Bayesian logistic regression. Spending growth in 2022-2024 was compared by</w:t>
      </w:r>
      <w:r>
        <w:t xml:space="preserve"> </w:t>
      </w:r>
      <w:r>
        <w:t xml:space="preserve">difference-in-differences.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 ρ=0.94). Relative to their current benchmarks,</w:t>
      </w:r>
      <w:r>
        <w:t xml:space="preserve"> </w:t>
      </w:r>
      <w:r>
        <w:t xml:space="preserve">early renewers’ regional spending was 3.4 percentage points higher than stayers’ (95% credible interval [CrI], 1.7</w:t>
      </w:r>
      <w:r>
        <w:t xml:space="preserve"> </w:t>
      </w:r>
      <w:r>
        <w:t xml:space="preserve">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but they were also beating their benchmarks by more (own-spending component, −2.1 points; 95%</w:t>
      </w:r>
      <w:r>
        <w:t xml:space="preserve"> </w:t>
      </w:r>
      <w:r>
        <w:t xml:space="preserve">CrI, −3.8 to −0.5), and the total expected gain did not differ (−0.5 points; 95% CrI, −2.0 to 0.8). Post hoc, CMS’s</w:t>
      </w:r>
      <w:r>
        <w:t xml:space="preserve"> </w:t>
      </w:r>
      <w:r>
        <w:t xml:space="preserve">published 2022 benchmarks for early renewers averaged 1.3% below their 2021 benchmarks. Among 206 BASIC-track ACOs,</w:t>
      </w:r>
      <w:r>
        <w:t xml:space="preserve"> </w:t>
      </w:r>
      <w:r>
        <w:t xml:space="preserve">early renewal was associated with a higher regional pull (log-odds difference per 2 SD, 1.34; 95% CrI, 0.44 to 2.30)</w:t>
      </w:r>
      <w:r>
        <w:t xml:space="preserve"> </w:t>
      </w:r>
      <w:r>
        <w:t xml:space="preserve">and a higher BASIC level (levels C-E; 1.34; 95% CrI, 0.38 to 2.31), and 26 of all 27 BASIC-track early renewers moved to</w:t>
      </w:r>
      <w:r>
        <w:t xml:space="preserve"> </w:t>
      </w:r>
      <w:r>
        <w:t xml:space="preserve">ENHANCED. Spending growth did not differ detectably</w:t>
      </w:r>
      <w:r>
        <w:t xml:space="preserve"> </w:t>
      </w:r>
      <w:r>
        <w:t xml:space="preserve">(−0.4%; 95% CrI, −4.0% to 2.5%), and a preregistered pre-trend condition did not hold.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Early renewers were already beating their benchmarks and had more room under</w:t>
      </w:r>
      <w:r>
        <w:t xml:space="preserve"> </w:t>
      </w:r>
      <w:r>
        <w:t xml:space="preserve">their regions’ spending; for almost all, renewal was the</w:t>
      </w:r>
      <w:r>
        <w:t xml:space="preserve"> </w:t>
      </w:r>
      <w:r>
        <w:t xml:space="preserve">route to a 75% sharing rate, and the reset did not on average raise their benchmarks. The pattern fits the</w:t>
      </w:r>
      <w:r>
        <w:t xml:space="preserve"> </w:t>
      </w:r>
      <w:r>
        <w:t xml:space="preserve">sharing-rate motive better than the reset motive, though the design cannot separate them. These are associations</w:t>
      </w:r>
      <w:r>
        <w:t xml:space="preserve"> </w:t>
      </w:r>
      <w:r>
        <w:t xml:space="preserve">under rules that changed in 2024.</w:t>
      </w:r>
    </w:p>
    <w:p>
      <w:pPr>
        <w:pStyle w:val="BodyText"/>
      </w:pPr>
      <w:r>
        <w:rPr>
          <w:b/>
          <w:bCs/>
        </w:rPr>
        <w:t xml:space="preserve">Trial Registration:</w:t>
      </w:r>
      <w:r>
        <w:t xml:space="preserve"> </w:t>
      </w:r>
      <w:r>
        <w:t xml:space="preserve">OSF Registries osf.io/c53w9; https://osf.io/c53w9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As of January 1, 2026, 511 ACOs served 12.6</w:t>
      </w:r>
      <w:r>
        <w:t xml:space="preserve"> </w:t>
      </w:r>
      <w:r>
        <w:t xml:space="preserve">million assigned Medicare beneficiaries, and ACOs earned $4.1 billion in shared savings for 2024.</w:t>
      </w:r>
      <w:r>
        <w:t xml:space="preserve">[</w:t>
      </w:r>
      <w:hyperlink w:anchor="ref-sspfastfacts2026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How benchmarks are set therefore determines both what Medicare pays and which provider organizations take part. At</w:t>
      </w:r>
      <w:r>
        <w:t xml:space="preserve"> </w:t>
      </w:r>
      <w:r>
        <w:t xml:space="preserve">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4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9</w:t>
        </w:r>
      </w:hyperlink>
      <w:r>
        <w:t xml:space="preserve">]</w:t>
      </w:r>
    </w:p>
    <w:p>
      <w:pPr>
        <w:pStyle w:val="BodyText"/>
      </w:pPr>
      <w:r>
        <w:t xml:space="preserve">Benchmarks shape the program through 2 channels. The first is the incentive to save. Rebasing to an ACO’s own</w:t>
      </w:r>
      <w:r>
        <w:t xml:space="preserve"> </w:t>
      </w:r>
      <w:r>
        <w:t xml:space="preserve">recent spending weakens its incentive to save, and under earlier weights it rewarded higher spending just before a</w:t>
      </w:r>
      <w:r>
        <w:t xml:space="preserve"> </w:t>
      </w:r>
      <w:r>
        <w:t xml:space="preserve">new agreement;</w:t>
      </w:r>
      <w:r>
        <w:t xml:space="preserve">[</w:t>
      </w:r>
      <w:hyperlink w:anchor="ref-douven2015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this is the ratchet effect that arises whenever targets are set from past</w:t>
      </w:r>
      <w:r>
        <w:t xml:space="preserve"> </w:t>
      </w:r>
      <w:r>
        <w:t xml:space="preserve">performance.</w:t>
      </w:r>
      <w:r>
        <w:t xml:space="preserve">[</w:t>
      </w:r>
      <w:hyperlink w:anchor="ref-weitzman1980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In the MSSP, savings rates were 40% higher in years whose spending did not enter a future</w:t>
      </w:r>
      <w:r>
        <w:t xml:space="preserve"> </w:t>
      </w:r>
      <w:r>
        <w:t xml:space="preserve">benchmark.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</w:p>
    <w:p>
      <w:pPr>
        <w:pStyle w:val="BodyText"/>
      </w:pPr>
      <w:r>
        <w:t xml:space="preserve">The second channel is selection: benchmark rules change which ACOs join, stay and take on risk. ACOs’ spending varies</w:t>
      </w:r>
      <w:r>
        <w:t xml:space="preserve"> </w:t>
      </w:r>
      <w:r>
        <w:t xml:space="preserve">widely relative to their regions even after risk adjustment, so moving benchmarks toward regional averages shifts them</w:t>
      </w:r>
      <w:r>
        <w:t xml:space="preserve"> </w:t>
      </w:r>
      <w:r>
        <w:t xml:space="preserve">unevenly.</w:t>
      </w:r>
      <w:r>
        <w:t xml:space="preserve">[</w:t>
      </w:r>
      <w:hyperlink w:anchor="ref-rose201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ACOs with a positive regional adjustment were less likely to exit,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This literature describes how benchmark</w:t>
      </w:r>
      <w:r>
        <w:t xml:space="preserve"> </w:t>
      </w:r>
      <w:r>
        <w:t xml:space="preserve">rules sort ACOs into joining, staying, leaving and taking on risk, and how rebasing weakens the incentive to save</w:t>
      </w:r>
      <w:r>
        <w:t xml:space="preserve"> </w:t>
      </w:r>
      <w:r>
        <w:t xml:space="preserve">within an agreement; it has not examined when ACOs choose to reset.</w:t>
      </w:r>
    </w:p>
    <w:p>
      <w:pPr>
        <w:pStyle w:val="BodyText"/>
      </w:pPr>
      <w:r>
        <w:t xml:space="preserve">The 2019 rules also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period. CMS imposed that bar to guard</w:t>
      </w:r>
      <w:r>
        <w:t xml:space="preserve"> </w:t>
      </w:r>
      <w:r>
        <w:t xml:space="preserve">against selective entry into its highest-reward track by an ACO</w:t>
      </w:r>
      <w:r>
        <w:t xml:space="preserve"> </w:t>
      </w:r>
      <w:r>
        <w:t xml:space="preserve">“very confident of its ability to generate savings”</w:t>
      </w:r>
      <w:r>
        <w:t xml:space="preserve"> </w:t>
      </w:r>
      <w:r>
        <w:t xml:space="preserve">against its current benchmark, and named early renewal, with its rebased benchmark, as the way to make the</w:t>
      </w:r>
      <w:r>
        <w:t xml:space="preserve"> </w:t>
      </w:r>
      <w:r>
        <w:t xml:space="preserve">move.</w:t>
      </w:r>
      <w:r>
        <w:t xml:space="preserve">[</w:t>
      </w:r>
      <w:hyperlink w:anchor="ref-frpathways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An industry</w:t>
      </w:r>
      <w:r>
        <w:t xml:space="preserve"> </w:t>
      </w:r>
      <w:r>
        <w:t xml:space="preserve">report found that ACOs rebasing early in 2022 had higher gross savings rates beforehand than ACOs that did not, and</w:t>
      </w:r>
      <w:r>
        <w:t xml:space="preserve"> </w:t>
      </w:r>
      <w:r>
        <w:t xml:space="preserve">that the earlier incumbents among them moved from BASIC to ENHANCED,</w:t>
      </w:r>
      <w:r>
        <w:t xml:space="preserve">[</w:t>
      </w:r>
      <w:hyperlink w:anchor="ref-milliman2024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and consulting analyses model the</w:t>
      </w:r>
      <w:r>
        <w:t xml:space="preserve"> </w:t>
      </w:r>
      <w:r>
        <w:t xml:space="preserve">choice for individual ACOs.</w:t>
      </w:r>
      <w:r>
        <w:t xml:space="preserve">[</w:t>
      </w:r>
      <w:hyperlink w:anchor="ref-milliman2025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These sources describe the early renewers but do not test why they renewed. To the author’s knowledge, no</w:t>
      </w:r>
      <w:r>
        <w:t xml:space="preserve"> </w:t>
      </w:r>
      <w:r>
        <w:t xml:space="preserve">peer-reviewed study has asked whether ACOs used the option to time resets for a higher benchmark or to reach ENHANCED.</w:t>
      </w:r>
      <w:r>
        <w:t xml:space="preserve"> </w:t>
      </w:r>
      <w:r>
        <w:t xml:space="preserve">The question joins the 2 strands above, the incentive created by rebasing and selection by benchmark rules, and it</w:t>
      </w:r>
      <w:r>
        <w:t xml:space="preserve"> </w:t>
      </w:r>
      <w:r>
        <w:t xml:space="preserve">matters more now that the rules in force since 2024 make a reset cheaper for ACOs that have saved.</w:t>
      </w:r>
      <w:r>
        <w:t xml:space="preserve">[</w:t>
      </w:r>
      <w:hyperlink w:anchor="ref-cfr2024">
        <w:r>
          <w:rPr>
            <w:rStyle w:val="Hyperlink"/>
          </w:rPr>
          <w:t xml:space="preserve">27</w:t>
        </w:r>
      </w:hyperlink>
      <w:r>
        <w:t xml:space="preserve">]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i/>
          <w:i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i/>
          <w:iCs/>
        </w:rPr>
        <w:t xml:space="preserve">sharing-rate motive</w:t>
      </w:r>
      <w:r>
        <w:t xml:space="preserve">, a BASIC-track ACO renews to reach ENHANCED. Whether a reset would raise the</w:t>
      </w:r>
      <w:r>
        <w:t xml:space="preserve"> </w:t>
      </w:r>
      <w:r>
        <w:t xml:space="preserve">benchmark is answered by the</w:t>
      </w:r>
      <w:r>
        <w:t xml:space="preserve"> </w:t>
      </w:r>
      <w:r>
        <w:rPr>
          <w:i/>
          <w:iCs/>
        </w:rPr>
        <w:t xml:space="preserve">total expected gain</w:t>
      </w:r>
      <w:r>
        <w:t xml:space="preserve">, but its own-spending part is close to a restatement of the</w:t>
      </w:r>
      <w:r>
        <w:t xml:space="preserve"> </w:t>
      </w:r>
      <w:r>
        <w:t xml:space="preserve">savings rate. The registered plan therefore made primary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 how far an ACO’s case-mix-adjusted</w:t>
      </w:r>
      <w:r>
        <w:t xml:space="preserve"> </w:t>
      </w:r>
      <w:r>
        <w:t xml:space="preserve">regional spending sat above its current benchmark: it has no term for the ACO’s benchmark-year spending and shows</w:t>
      </w:r>
      <w:r>
        <w:t xml:space="preserve"> </w:t>
      </w:r>
      <w:r>
        <w:t xml:space="preserve">whether an ACO had room to gain on the regional side of a reset, which the savings rate does not capture. The</w:t>
      </w:r>
      <w:r>
        <w:t xml:space="preserve"> </w:t>
      </w:r>
      <w:r>
        <w:t xml:space="preserve">own-spending component and the total gain were read beside it. The study asked whether early renewers had more of</w:t>
      </w:r>
      <w:r>
        <w:t xml:space="preserve"> </w:t>
      </w:r>
      <w:r>
        <w:t xml:space="preserve">that room than ACOs that stayed, which characteristics were associated with early renewal, and whether early</w:t>
      </w:r>
      <w:r>
        <w:t xml:space="preserve"> </w:t>
      </w:r>
      <w:r>
        <w:t xml:space="preserve">renewers’ spending growth differed afterward, as it might if a new benchmark or a higher sharing rate changed the</w:t>
      </w:r>
      <w:r>
        <w:t xml:space="preserve"> </w:t>
      </w:r>
      <w:r>
        <w:t xml:space="preserve">incentive to save. The analysis plan, hypotheses, decision rules and code were registered before any outcome value</w:t>
      </w:r>
      <w:r>
        <w:t xml:space="preserve"> </w:t>
      </w:r>
      <w:r>
        <w:t xml:space="preserve">was read.</w:t>
      </w:r>
      <w:r>
        <w:t xml:space="preserve">[</w:t>
      </w:r>
      <w:hyperlink w:anchor="ref-registration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 </w:t>
      </w:r>
      <w:r>
        <w:t xml:space="preserve">These associations bear on the motives but cannot establish which one drove the choice.</w:t>
      </w:r>
    </w:p>
    <w:bookmarkEnd w:id="13"/>
    <w:bookmarkStart w:id="33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(checklist in Multimedia Appendix 2). The analysis plan and the code commit that implements it were registered on OSF (Open Science Framework)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28</w:t>
        </w:r>
      </w:hyperlink>
      <w:r>
        <w:t xml:space="preserve">,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Centers for Medicare &amp; Medicaid Services (CMS) data dictionaries, the regulation text and the column names (not the values) of the outcome files</w:t>
      </w:r>
      <w:r>
        <w:t xml:space="preserve"> </w:t>
      </w:r>
      <w:r>
        <w:t xml:space="preserve">were used. The enrollment files include each ACO’s track and BASIC level, so the H3 prediction for the BASIC level</w:t>
      </w:r>
      <w:r>
        <w:t xml:space="preserve"> </w:t>
      </w:r>
      <w:r>
        <w:t xml:space="preserve">was made with those data available: it is preregistered but not blind to them. No savings rate, spending value,</w:t>
      </w:r>
      <w:r>
        <w:t xml:space="preserve"> </w:t>
      </w:r>
      <w:r>
        <w:t xml:space="preserve">benchmark or constructed variable was seen. The registry’s own timestamp, rather than the repository’s commit dates,</w:t>
      </w:r>
      <w:r>
        <w:t xml:space="preserve"> </w:t>
      </w:r>
      <w:r>
        <w:t xml:space="preserve">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31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35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i/>
          <w:iCs/>
        </w:rPr>
        <w:t xml:space="preserve">stayers</w:t>
      </w:r>
      <w:r>
        <w:t xml:space="preserve"> </w:t>
      </w:r>
      <w:r>
        <w:t xml:space="preserve">(277 ACOs), those in the same agreement in PY2022; 42 stayers later renewed early into</w:t>
      </w:r>
      <w:r>
        <w:t xml:space="preserve"> </w:t>
      </w:r>
      <w:r>
        <w:t xml:space="preserve">2023 or 2024 agreements, so the comparison concerns the 2022 decision. The 28 ACOs absent from the PY2022 file (left</w:t>
      </w:r>
      <w:r>
        <w:t xml:space="preserve"> </w:t>
      </w:r>
      <w:r>
        <w:t xml:space="preserve">after PY2021) were described but entered no registered test (Figure 1). Of the 356 ACOs from these cohorts in the</w:t>
      </w:r>
      <w:r>
        <w:t xml:space="preserve"> </w:t>
      </w:r>
      <w:r>
        <w:t xml:space="preserve">PY2020 enrollment file, 22 were absent from the PY2021 file, and none had renewed into a 2021 agreement.</w:t>
      </w:r>
    </w:p>
    <w:bookmarkEnd w:id="16"/>
    <w:bookmarkStart w:id="21" w:name="variables"/>
    <w:p>
      <w:pPr>
        <w:pStyle w:val="Heading2"/>
      </w:pPr>
      <w:r>
        <w:t xml:space="preserve">Variables</w:t>
      </w:r>
    </w:p>
    <w:bookmarkStart w:id="17" w:name="expected-gain-from-a-reset"/>
    <w:p>
      <w:pPr>
        <w:pStyle w:val="Heading3"/>
      </w:pPr>
      <w:r>
        <w:t xml:space="preserve">Expected Gain From a Reset</w:t>
      </w:r>
    </w:p>
    <w:p>
      <w:pPr>
        <w:pStyle w:val="FirstParagraph"/>
      </w:pP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 100 × (new − 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i/>
          <w:i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i/>
          <w:i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e</w:t>
      </w:r>
      <w:r>
        <w:t xml:space="preserve"> </w:t>
      </w:r>
      <w:r>
        <w:t xml:space="preserve">is the case-mix-adjusted regional spending for enrollment type</w:t>
      </w:r>
      <w:r>
        <w:t xml:space="preserve"> </w:t>
      </w:r>
      <w:r>
        <w:rPr>
          <w:i/>
          <w:iCs/>
        </w:rPr>
        <w:t xml:space="preserve">e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vertAlign w:val="subscript"/>
        </w:rPr>
        <w:t xml:space="preserve">e</w:t>
      </w:r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bookmarkEnd w:id="17"/>
    <w:bookmarkStart w:id="18" w:name="validation-before-use"/>
    <w:p>
      <w:pPr>
        <w:pStyle w:val="Heading3"/>
      </w:pPr>
      <w:r>
        <w:t xml:space="preserve">Validation Before Use</w:t>
      </w:r>
    </w:p>
    <w:p>
      <w:pPr>
        <w:pStyle w:val="FirstParagraph"/>
      </w:pP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bookmarkEnd w:id="18"/>
    <w:bookmarkStart w:id="19" w:name="other-variables"/>
    <w:p>
      <w:pPr>
        <w:pStyle w:val="Heading3"/>
      </w:pPr>
      <w:r>
        <w:t xml:space="preserve">Other Variables</w:t>
      </w:r>
    </w:p>
    <w:p>
      <w:pPr>
        <w:pStyle w:val="FirstParagraph"/>
      </w:pP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 advance faster, and could pause the advance for 2021; ACOs experienced with performance-based risk could enter</w:t>
      </w:r>
      <w:r>
        <w:t xml:space="preserve"> </w:t>
      </w:r>
      <w:r>
        <w:t xml:space="preserve">only Level E or ENHANCED.</w:t>
      </w:r>
      <w:r>
        <w:t xml:space="preserve">[</w:t>
      </w:r>
      <w:hyperlink w:anchor="ref-cfr425600">
        <w:r>
          <w:rPr>
            <w:rStyle w:val="Hyperlink"/>
          </w:rPr>
          <w:t xml:space="preserve">37</w:t>
        </w:r>
      </w:hyperlink>
      <w:r>
        <w:t xml:space="preserve">]</w:t>
      </w:r>
    </w:p>
    <w:bookmarkEnd w:id="19"/>
    <w:bookmarkStart w:id="20" w:name="suppressed-values"/>
    <w:p>
      <w:pPr>
        <w:pStyle w:val="Heading3"/>
      </w:pPr>
      <w:r>
        <w:t xml:space="preserve">Suppressed Values</w:t>
      </w:r>
    </w:p>
    <w:p>
      <w:pPr>
        <w:pStyle w:val="FirstParagraph"/>
      </w:pP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20"/>
    <w:bookmarkEnd w:id="21"/>
    <w:bookmarkStart w:id="22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i/>
          <w:i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i/>
          <w:iCs/>
        </w:rPr>
        <w:t xml:space="preserve">H2a</w:t>
      </w:r>
      <w:r>
        <w:rPr>
          <w:i/>
          <w:iCs/>
        </w:rPr>
        <w:t xml:space="preserve"> </w:t>
      </w:r>
      <w:r>
        <w:rPr>
          <w:i/>
          <w:i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i/>
          <w:iCs/>
        </w:rPr>
        <w:t xml:space="preserve">H1</w:t>
      </w:r>
      <w:r>
        <w:rPr>
          <w:i/>
          <w:iCs/>
        </w:rPr>
        <w:t xml:space="preserve"> </w:t>
      </w:r>
      <w:r>
        <w:rPr>
          <w:i/>
          <w:i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i/>
          <w:i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i/>
          <w:i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22"/>
    <w:bookmarkStart w:id="30" w:name="statistical-analysis"/>
    <w:p>
      <w:pPr>
        <w:pStyle w:val="Heading2"/>
      </w:pPr>
      <w:r>
        <w:t xml:space="preserve">Statistical Analysis</w:t>
      </w:r>
    </w:p>
    <w:bookmarkStart w:id="23" w:name="group-comparisons-h1-h2a-h2b"/>
    <w:p>
      <w:pPr>
        <w:pStyle w:val="Heading3"/>
      </w:pPr>
      <w:r>
        <w:t xml:space="preserve">Group Comparisons (H1, H2a, H2b)</w:t>
      </w:r>
    </w:p>
    <w:p>
      <w:pPr>
        <w:pStyle w:val="FirstParagraph"/>
      </w:pP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bookmarkEnd w:id="23"/>
    <w:bookmarkStart w:id="24" w:name="decision-model-h3"/>
    <w:p>
      <w:pPr>
        <w:pStyle w:val="Heading3"/>
      </w:pPr>
      <w:r>
        <w:t xml:space="preserve">Decision Model (H3)</w:t>
      </w:r>
    </w:p>
    <w:p>
      <w:pPr>
        <w:pStyle w:val="FirstParagraph"/>
      </w:pP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44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bookmarkEnd w:id="24"/>
    <w:bookmarkStart w:id="25" w:name="spending-after-renewal-h4"/>
    <w:p>
      <w:pPr>
        <w:pStyle w:val="Heading3"/>
      </w:pPr>
      <w:r>
        <w:t xml:space="preserve">Spending After Renewal (H4)</w:t>
      </w:r>
    </w:p>
    <w:p>
      <w:pPr>
        <w:pStyle w:val="FirstParagraph"/>
      </w:pPr>
      <w:r>
        <w:t xml:space="preserve">For each ACO, Δ 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 Δ,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bookmarkEnd w:id="25"/>
    <w:bookmarkStart w:id="26" w:name="power"/>
    <w:p>
      <w:pPr>
        <w:pStyle w:val="Heading3"/>
      </w:pPr>
      <w:r>
        <w:t xml:space="preserve">Power</w:t>
      </w:r>
    </w:p>
    <w:p>
      <w:pPr>
        <w:pStyle w:val="FirstParagraph"/>
      </w:pPr>
      <w:r>
        <w:t xml:space="preserve">Minimum detectable effects (MDEs) at 80% power and 2-sided α 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bookmarkEnd w:id="26"/>
    <w:bookmarkStart w:id="27" w:name="decision-rules"/>
    <w:p>
      <w:pPr>
        <w:pStyle w:val="Heading3"/>
      </w:pPr>
      <w:r>
        <w:t xml:space="preserve">Decision Rules</w:t>
      </w:r>
    </w:p>
    <w:p>
      <w:pPr>
        <w:pStyle w:val="FirstParagraph"/>
      </w:pP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bookmarkEnd w:id="27"/>
    <w:bookmarkStart w:id="28" w:name="X3d1e5499a32e15aaf406abcc81d44387481ecc1"/>
    <w:p>
      <w:pPr>
        <w:pStyle w:val="Heading3"/>
      </w:pPr>
      <w:r>
        <w:t xml:space="preserve">Covariate-Adjusted Estimates, Conventional Methods, and Robustness</w:t>
      </w:r>
    </w:p>
    <w:p>
      <w:pPr>
        <w:pStyle w:val="FirstParagraph"/>
      </w:pP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55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 </w:t>
      </w:r>
      <w:r>
        <w:t xml:space="preserve">Markov chain Monte Carlo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59</w:t>
        </w:r>
      </w:hyperlink>
      <w:r>
        <w:t xml:space="preserve">]</w:t>
      </w:r>
    </w:p>
    <w:bookmarkEnd w:id="28"/>
    <w:bookmarkStart w:id="29" w:name="deviations"/>
    <w:p>
      <w:pPr>
        <w:pStyle w:val="Heading3"/>
      </w:pPr>
      <w:r>
        <w:t xml:space="preserve">Deviations</w:t>
      </w:r>
    </w:p>
    <w:p>
      <w:pPr>
        <w:pStyle w:val="FirstParagraph"/>
      </w:pP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29"/>
    <w:bookmarkEnd w:id="30"/>
    <w:bookmarkStart w:id="31" w:name="post-hoc-checks-not-registered"/>
    <w:p>
      <w:pPr>
        <w:pStyle w:val="Heading2"/>
      </w:pPr>
      <w:r>
        <w:t xml:space="preserve">Post Hoc Checks (Not Registered)</w:t>
      </w:r>
    </w:p>
    <w:p>
      <w:pPr>
        <w:pStyle w:val="FirstParagraph"/>
      </w:pPr>
      <w:r>
        <w:t xml:space="preserve">After all registered results had been read, and in response to critical review of the draft, 3 checks were added (eTable 13 in Multimedia Appendix 1). They reuse the registered pipeline’s tables and estimator,</w:t>
      </w:r>
      <w:r>
        <w:t xml:space="preserve"> </w:t>
      </w:r>
      <w:r>
        <w:t xml:space="preserve">change no registered file, and decide nothing. First, the validation was repeated on the change scale, the rebuilt</w:t>
      </w:r>
      <w:r>
        <w:t xml:space="preserve"> </w:t>
      </w:r>
      <w:r>
        <w:t xml:space="preserve">against the actual change from the PY2021 benchmark, for the same 101 regular renewers. Second, early renewers’</w:t>
      </w:r>
      <w:r>
        <w:t xml:space="preserve"> </w:t>
      </w:r>
      <w:r>
        <w:t xml:space="preserve">realized reset, their 2022 historical benchmark as CMS published it relative to their PY2021 benchmark, was compared</w:t>
      </w:r>
      <w:r>
        <w:t xml:space="preserve"> </w:t>
      </w:r>
      <w:r>
        <w:t xml:space="preserve">with the rebuilt gain, and their PY2021-to-PY2022 change in updated benchmark was compared with stayers’ with the group-comparison estimator above. Third, the rank correlation of the regional pull</w:t>
      </w:r>
      <w:r>
        <w:t xml:space="preserve"> </w:t>
      </w:r>
      <w:r>
        <w:t xml:space="preserve">with the PY2020 and PY2021 savings rates and the own-spending component was computed, to ask whether the pull</w:t>
      </w:r>
      <w:r>
        <w:t xml:space="preserve"> </w:t>
      </w:r>
      <w:r>
        <w:t xml:space="preserve">restates past savings.</w:t>
      </w:r>
    </w:p>
    <w:bookmarkEnd w:id="31"/>
    <w:bookmarkStart w:id="32" w:name="ethical-considerations"/>
    <w:p>
      <w:pPr>
        <w:pStyle w:val="Heading2"/>
      </w:pPr>
      <w:r>
        <w:t xml:space="preserve">Ethical Considerations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intervention or interaction with individuals and no identifiable private information, so it was not human subjects</w:t>
      </w:r>
      <w:r>
        <w:t xml:space="preserve"> </w:t>
      </w:r>
      <w:r>
        <w:t xml:space="preserve">research as defined by the US Federal Policy for the Protection of Human Subjects (45 CFR 46.102(e)(1)).</w:t>
      </w:r>
      <w:r>
        <w:t xml:space="preserve">[</w:t>
      </w:r>
      <w:hyperlink w:anchor="ref-cfr46102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 </w:t>
      </w:r>
      <w:r>
        <w:t xml:space="preserve">Ethics review was therefore not sought, and informed consent, privacy protections for participants and compensation</w:t>
      </w:r>
      <w:r>
        <w:t xml:space="preserve"> </w:t>
      </w:r>
      <w:r>
        <w:t xml:space="preserve">did not apply.</w:t>
      </w:r>
    </w:p>
    <w:bookmarkEnd w:id="32"/>
    <w:bookmarkEnd w:id="33"/>
    <w:bookmarkStart w:id="51" w:name="results"/>
    <w:p>
      <w:pPr>
        <w:pStyle w:val="Heading1"/>
      </w:pPr>
      <w:r>
        <w:t xml:space="preserve">Results</w:t>
      </w:r>
    </w:p>
    <w:bookmarkStart w:id="37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Multimedia Appendix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sample; a scale estimate from the median error (1.4826 × 1.4 ≈ 2.1) would be below the stayers’ SD.</w:t>
      </w:r>
      <w:r>
        <w:t xml:space="preserve"> </w:t>
      </w:r>
      <w:r>
        <w:t xml:space="preserve">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agreements; stayers could not, because the rules bar that move within an agreement period.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4343"/>
        <w:gridCol w:w="1752"/>
        <w:gridCol w:w="1396"/>
        <w:gridCol w:w="18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943600" cy="4651513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35" name="Picture"/>
            <a:graphic>
              <a:graphicData uri="http://schemas.openxmlformats.org/drawingml/2006/picture">
                <pic:pic>
                  <pic:nvPicPr>
                    <pic:cNvPr descr="figures/figure1-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5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37"/>
    <w:bookmarkStart w:id="41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supported, which the plan worded as</w:t>
      </w:r>
      <w:r>
        <w:t xml:space="preserve"> </w:t>
      </w:r>
      <w:r>
        <w:t xml:space="preserve">“evidence for the reset motive</w:t>
      </w:r>
      <w:r>
        <w:t xml:space="preserve"> </w:t>
      </w:r>
      <w:r>
        <w:t xml:space="preserve">beyond past savings.”</w:t>
      </w:r>
      <w:r>
        <w:t xml:space="preserve"> </w:t>
      </w:r>
      <w:r>
        <w:t xml:space="preserve">The decomposition shows that this wording overstates the result. Weighted by the phase-in</w:t>
      </w:r>
      <w:r>
        <w:t xml:space="preserve"> </w:t>
      </w:r>
      <w:r>
        <w:t xml:space="preserve">weight, the pull difference was 1.6 points (eTable 10), and the regional component differed by the same 1.6 points</w:t>
      </w:r>
      <w:r>
        <w:t xml:space="preserve"> </w:t>
      </w:r>
      <w:r>
        <w:t xml:space="preserve">partly because a lower own-spending component also raises it; the total expected gain did not differ. The pull</w:t>
      </w:r>
      <w:r>
        <w:t xml:space="preserve"> </w:t>
      </w:r>
      <w:r>
        <w:t xml:space="preserve">difference therefore indicates that early renewers were low-cost relative to their regions more than that they stood</w:t>
      </w:r>
      <w:r>
        <w:t xml:space="preserve"> </w:t>
      </w:r>
      <w:r>
        <w:t xml:space="preserve">to gain a higher benchmark. The pull is related to past savings without restating it: post hoc, its rank correlation</w:t>
      </w:r>
      <w:r>
        <w:t xml:space="preserve"> </w:t>
      </w:r>
      <w:r>
        <w:t xml:space="preserve">with the PY2020 savings rate was 0.45 among the 267 compared ACOs (eTable 13 in Multimedia Appendix 1).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=.003):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2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=.33).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 Post hoc, CMS’s published 2022 benchmarks bear this out for early renewers: their</w:t>
      </w:r>
      <w:r>
        <w:t xml:space="preserve"> </w:t>
      </w:r>
      <w:r>
        <w:t xml:space="preserve">reset historical benchmarks averaged 1.3% below their PY2021 benchmarks (median −1.5%; 66% of the 29 were lower), the</w:t>
      </w:r>
      <w:r>
        <w:t xml:space="preserve"> </w:t>
      </w:r>
      <w:r>
        <w:t xml:space="preserve">rebuilt gain had predicted −1.6 points on average against −1.4 realized for the 26 with both values, and their</w:t>
      </w:r>
      <w:r>
        <w:t xml:space="preserve"> </w:t>
      </w:r>
      <w:r>
        <w:t xml:space="preserve">updated benchmarks rose from PY2021 to PY2022 no more than stayers’ (difference 0.0 points; 95% CrI, −2.0 to 2.2)</w:t>
      </w:r>
      <w:r>
        <w:t xml:space="preserve"> </w:t>
      </w:r>
      <w:r>
        <w:t xml:space="preserve">(eTable 13 in Multimedia Appendix 1).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020"/>
        <w:gridCol w:w="1332"/>
        <w:gridCol w:w="1586"/>
        <w:gridCol w:w="1040"/>
        <w:gridCol w:w="910"/>
        <w:gridCol w:w="650"/>
        <w:gridCol w:w="18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 α 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943600" cy="2468914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39" name="Picture"/>
            <a:graphic>
              <a:graphicData uri="http://schemas.openxmlformats.org/drawingml/2006/picture">
                <pic:pic>
                  <pic:nvPicPr>
                    <pic:cNvPr descr="figures/figure2-compariso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8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41"/>
    <w:bookmarkStart w:id="45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=.002)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=.003);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=.19);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Multimedia Appendix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777"/>
        <w:gridCol w:w="1303"/>
        <w:gridCol w:w="948"/>
        <w:gridCol w:w="711"/>
        <w:gridCol w:w="1659"/>
        <w:gridCol w:w="1303"/>
        <w:gridCol w:w="16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943600" cy="2164342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43" name="Picture"/>
            <a:graphic>
              <a:graphicData uri="http://schemas.openxmlformats.org/drawingml/2006/picture">
                <pic:pic>
                  <pic:nvPicPr>
                    <pic:cNvPr descr="figures/figure3-decision-mod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4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Decision model of early renewal among BASIC-track ACOs (H3). Points are posterior means and lines 95% credible intervals; the shaded band is the Normal(0, 1) prior’s central 95%. Bold labels mark the core predictors.</w:t>
      </w:r>
    </w:p>
    <w:bookmarkEnd w:id="45"/>
    <w:bookmarkStart w:id="49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=.78; MDE 3.8 log points) (Figure 4; eTable 8 in Multimedia Appendix 1).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=.58),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9 in Multimedia Appendix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=.30).</w:t>
      </w:r>
    </w:p>
    <w:p>
      <w:pPr>
        <w:pStyle w:val="CaptionedFigure"/>
      </w:pPr>
      <w:r>
        <w:drawing>
          <wp:inline>
            <wp:extent cx="5943600" cy="234428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eTable 8 in Multimedia Appendix 1. TWFE, 2-way fixed effects." title="" id="47" name="Picture"/>
            <a:graphic>
              <a:graphicData uri="http://schemas.openxmlformats.org/drawingml/2006/picture">
                <pic:pic>
                  <pic:nvPicPr>
                    <pic:cNvPr descr="figures/figure4-spendin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4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eTable 8 in Multimedia Appendix 1. TWFE, 2-way fixed effects.</w:t>
      </w:r>
    </w:p>
    <w:bookmarkEnd w:id="49"/>
    <w:bookmarkStart w:id="50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Multimedia Appendix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=.001),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Multimedia Appendix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=.09; H1,</w:t>
      </w:r>
      <w:r>
        <w:t xml:space="preserve"> </w:t>
      </w:r>
      <w:r>
        <w:rPr>
          <w:i/>
          <w:iCs/>
        </w:rPr>
        <w:t xml:space="preserve">P</w:t>
      </w:r>
      <w:r>
        <w:t xml:space="preserve">=.06)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Multimedia Appendix 1).</w:t>
      </w:r>
    </w:p>
    <w:p>
      <w:pPr>
        <w:pStyle w:val="BodyText"/>
      </w:pPr>
      <w:r>
        <w:t xml:space="preserve">Among the exploratory analyses (eTables 10-12 in Multimedia Appendix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50"/>
    <w:bookmarkEnd w:id="51"/>
    <w:bookmarkStart w:id="57" w:name="discussion"/>
    <w:p>
      <w:pPr>
        <w:pStyle w:val="Heading1"/>
      </w:pPr>
      <w:r>
        <w:t xml:space="preserve">Discussion</w:t>
      </w:r>
    </w:p>
    <w:bookmarkStart w:id="52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t xml:space="preserve">In this preregistered study of the 2019 and 2020 MSSP cohorts, the ACOs that ended their agreements early were</w:t>
      </w:r>
      <w:r>
        <w:t xml:space="preserve"> </w:t>
      </w:r>
      <w:r>
        <w:t xml:space="preserve">already beating their benchmarks by more than ACOs that stayed, had more room under their regions’ spending, and,</w:t>
      </w:r>
      <w:r>
        <w:t xml:space="preserve"> </w:t>
      </w:r>
      <w:r>
        <w:t xml:space="preserve">in the BASIC track, were more often already bearing two-sided risk. For 26 of the 27 BASIC-track early renewers,</w:t>
      </w:r>
      <w:r>
        <w:t xml:space="preserve"> </w:t>
      </w:r>
      <w:r>
        <w:t xml:space="preserve">renewal was the move to ENHANCED’s 75% sharing rate. By the study’s approximation, a reset would not on average have</w:t>
      </w:r>
      <w:r>
        <w:t xml:space="preserve"> </w:t>
      </w:r>
      <w:r>
        <w:t xml:space="preserve">raised their benchmarks, because the regional gain and the own-spending loss roughly offset, and the benchmarks CMS</w:t>
      </w:r>
      <w:r>
        <w:t xml:space="preserve"> </w:t>
      </w:r>
      <w:r>
        <w:t xml:space="preserve">published for 2022, examined post hoc, agree. Spending growth in the 3 years after renewal did not differ detectably</w:t>
      </w:r>
      <w:r>
        <w:t xml:space="preserve"> </w:t>
      </w:r>
      <w:r>
        <w:t xml:space="preserve">from that of ACOs not yet renewed.</w:t>
      </w:r>
    </w:p>
    <w:p>
      <w:pPr>
        <w:pStyle w:val="BodyText"/>
      </w:pPr>
      <w:r>
        <w:t xml:space="preserve">To the author’s knowledge, this is the first peer-reviewed study of which ACOs used the early-renewal option. It adds</w:t>
      </w:r>
      <w:r>
        <w:t xml:space="preserve"> </w:t>
      </w:r>
      <w:r>
        <w:t xml:space="preserve">3 things. First, the intuitive account that ACOs renewed early to raise their benchmarks does not hold on average.</w:t>
      </w:r>
      <w:r>
        <w:t xml:space="preserve"> </w:t>
      </w:r>
      <w:r>
        <w:t xml:space="preserve">This rests on a secondary decomposition, built from data the ACOs did not yet have when they decided, and on the</w:t>
      </w:r>
      <w:r>
        <w:t xml:space="preserve"> </w:t>
      </w:r>
      <w:r>
        <w:t xml:space="preserve">benchmarks CMS later published, examined post hoc. Second, early renewers were sorted on the positions found for</w:t>
      </w:r>
      <w:r>
        <w:t xml:space="preserve"> </w:t>
      </w:r>
      <w:r>
        <w:t xml:space="preserve">joining and staying, room under their regions’ spending and greater risk, which extends that literature to when ACOs</w:t>
      </w:r>
      <w:r>
        <w:t xml:space="preserve"> </w:t>
      </w:r>
      <w:r>
        <w:t xml:space="preserve">reset; the size of the regional difference depended on the estimator, and in the decision model its interval reached</w:t>
      </w:r>
      <w:r>
        <w:t xml:space="preserve"> </w:t>
      </w:r>
      <w:r>
        <w:t xml:space="preserve">zero in 2 robustness checks. Third, the study provides a public, validated reconstruction of the reset benchmark and</w:t>
      </w:r>
      <w:r>
        <w:t xml:space="preserve"> </w:t>
      </w:r>
      <w:r>
        <w:t xml:space="preserve">a preregistered, code-enforced analysis that can be rerun for later cohorts. Spending growth after renewal did not</w:t>
      </w:r>
      <w:r>
        <w:t xml:space="preserve"> </w:t>
      </w:r>
      <w:r>
        <w:t xml:space="preserve">differ detectably; under parallel trends, which the single pre-period could not establish, the interval rules out a</w:t>
      </w:r>
      <w:r>
        <w:t xml:space="preserve"> </w:t>
      </w:r>
      <w:r>
        <w:t xml:space="preserve">drop of more than about 4% or a rise of more than about 2.5%.</w:t>
      </w:r>
    </w:p>
    <w:bookmarkEnd w:id="52"/>
    <w:bookmarkStart w:id="53" w:name="comparison-with-prior-work"/>
    <w:p>
      <w:pPr>
        <w:pStyle w:val="Heading2"/>
      </w:pPr>
      <w:r>
        <w:t xml:space="preserve">Comparison With Prior Work</w:t>
      </w:r>
    </w:p>
    <w:p>
      <w:pPr>
        <w:pStyle w:val="FirstParagraph"/>
      </w:pPr>
      <w:r>
        <w:t xml:space="preserve">The primary result extends to a new decision the selection described in the Introduction: providers with low</w:t>
      </w:r>
      <w:r>
        <w:t xml:space="preserve"> </w:t>
      </w:r>
      <w:r>
        <w:t xml:space="preserve">spending for their region joining,</w:t>
      </w:r>
      <w:r>
        <w:t xml:space="preserve">[</w:t>
      </w:r>
      <w:hyperlink w:anchor="ref-lyu2023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ACOs whose benchmarks fell leaving,</w:t>
      </w:r>
      <w:r>
        <w:t xml:space="preserve">[</w:t>
      </w:r>
      <w:hyperlink w:anchor="ref-chen202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and ACOs with a positive</w:t>
      </w:r>
      <w:r>
        <w:t xml:space="preserve"> </w:t>
      </w:r>
      <w:r>
        <w:t xml:space="preserve">regional adjustment about 70% less likely to exit.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 when to reset rather than whether to join or leave,</w:t>
      </w:r>
      <w:r>
        <w:t xml:space="preserve"> </w:t>
      </w:r>
      <w:r>
        <w:t xml:space="preserve">and early renewers had, on average, more room under their regions’ spending, the position associated with joining and</w:t>
      </w:r>
      <w:r>
        <w:t xml:space="preserve"> </w:t>
      </w:r>
      <w:r>
        <w:t xml:space="preserve">staying. In a voluntary Medicare bundled-payment program, hospitals that could gain without changing their behavior</w:t>
      </w:r>
      <w:r>
        <w:t xml:space="preserve"> </w:t>
      </w:r>
      <w:r>
        <w:t xml:space="preserve">were more likely to join, which the authors called selection on levels;</w:t>
      </w:r>
      <w:r>
        <w:t xml:space="preserve">[</w:t>
      </w:r>
      <w:hyperlink w:anchor="ref-einav2022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 </w:t>
      </w:r>
      <w:r>
        <w:t xml:space="preserve">early renewal shows selection on a</w:t>
      </w:r>
      <w:r>
        <w:t xml:space="preserve"> </w:t>
      </w:r>
      <w:r>
        <w:t xml:space="preserve">similar position, though the gain that most early renewers took appears to have been the sharing rate rather than a</w:t>
      </w:r>
      <w:r>
        <w:t xml:space="preserve"> </w:t>
      </w:r>
      <w:r>
        <w:t xml:space="preserve">higher benchmark. The industry report on the same cohort</w:t>
      </w:r>
      <w:r>
        <w:t xml:space="preserve">[</w:t>
      </w:r>
      <w:hyperlink w:anchor="ref-milliman2024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is</w:t>
      </w:r>
      <w:r>
        <w:t xml:space="preserve"> </w:t>
      </w:r>
      <w:r>
        <w:t xml:space="preserve">consistent with the higher prior savings rates and the BASIC-level association here. Beyond that report, this study rebuilt the reset benchmark and validated it</w:t>
      </w:r>
      <w:r>
        <w:t xml:space="preserve"> </w:t>
      </w:r>
      <w:r>
        <w:t xml:space="preserve">against CMS’s, separated its own-spending and regional parts, modeled the decision within the BASIC track and followed</w:t>
      </w:r>
      <w:r>
        <w:t xml:space="preserve"> </w:t>
      </w:r>
      <w:r>
        <w:t xml:space="preserve">spending afterward, under a preregistered plan. The finding that early renewers were savers also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rules.</w:t>
      </w:r>
      <w:r>
        <w:t xml:space="preserve">[</w:t>
      </w:r>
      <w:hyperlink w:anchor="ref-ying202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The same success, however, meant that the own-spending part of a reset would</w:t>
      </w:r>
      <w:r>
        <w:t xml:space="preserve"> </w:t>
      </w:r>
      <w:r>
        <w:t xml:space="preserve">have cut their benchmarks.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 ENHANCED, and the rules let no stayer do so.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and ACOs experienced with performance-based risk could</w:t>
      </w:r>
      <w:r>
        <w:t xml:space="preserve"> </w:t>
      </w:r>
      <w:r>
        <w:t xml:space="preserve">enter only Level E or ENHANCED,</w:t>
      </w:r>
      <w:r>
        <w:t xml:space="preserve">[</w:t>
      </w:r>
      <w:hyperlink w:anchor="ref-cfr425600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the association may also reflect earlier risk experience or appetite rather</w:t>
      </w:r>
      <w:r>
        <w:t xml:space="preserve"> </w:t>
      </w:r>
      <w:r>
        <w:t xml:space="preserve">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 already in ENHANCED, for whom only the reset could change, looked like typical stayers on every</w:t>
      </w:r>
      <w:r>
        <w:t xml:space="preserve"> </w:t>
      </w:r>
      <w:r>
        <w:t xml:space="preserve">variable. Taken together, with renewal and the move to ENHANCED one choice, the higher BASIC levels, a total</w:t>
      </w:r>
      <w:r>
        <w:t xml:space="preserve"> </w:t>
      </w:r>
      <w:r>
        <w:t xml:space="preserve">expected gain near zero and reset benchmarks that fell, the pattern fits the sharing-rate motive better than the</w:t>
      </w:r>
      <w:r>
        <w:t xml:space="preserve"> </w:t>
      </w:r>
      <w:r>
        <w:t xml:space="preserve">reset motive, and it is the trade CMS built into the rules: the move to ENHANCED required a reset.</w:t>
      </w:r>
      <w:r>
        <w:t xml:space="preserve">[</w:t>
      </w:r>
      <w:hyperlink w:anchor="ref-frpathways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That</w:t>
      </w:r>
      <w:r>
        <w:t xml:space="preserve"> </w:t>
      </w:r>
      <w:r>
        <w:t xml:space="preserve">is an interpretation, not a test; the design cannot separate the motives, and 2 ACOs already in ENHANCED are too few</w:t>
      </w:r>
      <w:r>
        <w:t xml:space="preserve"> </w:t>
      </w:r>
      <w:r>
        <w:t xml:space="preserve">to weigh.</w:t>
      </w:r>
    </w:p>
    <w:bookmarkEnd w:id="53"/>
    <w:bookmarkStart w:id="54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under the 2022 rules the use of the early-renewal option is consistent with</w:t>
      </w:r>
      <w:r>
        <w:t xml:space="preserve"> </w:t>
      </w:r>
      <w:r>
        <w:t xml:space="preserve">how CMS described it: a route to the ENHANCED track for ACOs already beating their benchmarks, at the price of a reset that did not on</w:t>
      </w:r>
      <w:r>
        <w:t xml:space="preserve"> </w:t>
      </w:r>
      <w:r>
        <w:t xml:space="preserve">average raise those benchmarks. They do not suggest that ACOs used the option to time resets for a higher benchmark.</w:t>
      </w:r>
      <w:r>
        <w:t xml:space="preserve"> </w:t>
      </w:r>
      <w:r>
        <w:t xml:space="preserve">The rules have since changed. For agreement periods beginning January 1, 2024 or later, an ACO that saved in its</w:t>
      </w:r>
      <w:r>
        <w:t xml:space="preserve"> </w:t>
      </w:r>
      <w:r>
        <w:t xml:space="preserve">benchmark years can receive a prior savings adjustment, and its benchmark gets the higher of that adjustment and the</w:t>
      </w:r>
      <w:r>
        <w:t xml:space="preserve"> </w:t>
      </w:r>
      <w:r>
        <w:t xml:space="preserve">regional adjustment; negative regional adjustments are partly offset; and the annual update blends in a fixed</w:t>
      </w:r>
      <w:r>
        <w:t xml:space="preserve"> </w:t>
      </w:r>
      <w:r>
        <w:t xml:space="preserve">projected trend.</w:t>
      </w:r>
      <w:r>
        <w:t xml:space="preserve">[</w:t>
      </w:r>
      <w:hyperlink w:anchor="ref-cfr2024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A reset now costs a saving ACO less, and saving ACOs are the ones that renewed early, so</w:t>
      </w:r>
      <w:r>
        <w:t xml:space="preserve"> </w:t>
      </w:r>
      <w:r>
        <w:t xml:space="preserve">the option may become more attractive to them and its cost to Medicare may change; its use is worth monitoring, and</w:t>
      </w:r>
      <w:r>
        <w:t xml:space="preserve"> </w:t>
      </w:r>
      <w:r>
        <w:t xml:space="preserve">the 34 stayers that renewed early into 2024 agreements are a first sample. Two questions remain open: what early</w:t>
      </w:r>
      <w:r>
        <w:t xml:space="preserve"> </w:t>
      </w:r>
      <w:r>
        <w:t xml:space="preserve">renewal cost Medicare, and how much of the choice reflected the sharing rate rather than the benchmark, which a</w:t>
      </w:r>
      <w:r>
        <w:t xml:space="preserve"> </w:t>
      </w:r>
      <w:r>
        <w:t xml:space="preserve">period in which ACOs could move to ENHANCED without resetting would separate.</w:t>
      </w:r>
    </w:p>
    <w:bookmarkEnd w:id="54"/>
    <w:bookmarkStart w:id="55" w:name="strengths-and-limitations"/>
    <w:p>
      <w:pPr>
        <w:pStyle w:val="Heading2"/>
      </w:pPr>
      <w:r>
        <w:t xml:space="preserve">Strengths and Limitations</w:t>
      </w:r>
    </w:p>
    <w:p>
      <w:pPr>
        <w:pStyle w:val="FirstParagraph"/>
      </w:pPr>
      <w:r>
        <w:t xml:space="preserve">The study’s strengths are in its design. The plan, decision rules and code were registered before any outcome data</w:t>
      </w:r>
      <w:r>
        <w:t xml:space="preserve"> </w:t>
      </w:r>
      <w:r>
        <w:t xml:space="preserve">were read, and the code enforced that order; the benchmark CMS does not publish was rebuilt from the regulation and</w:t>
      </w:r>
      <w:r>
        <w:t xml:space="preserve"> </w:t>
      </w:r>
      <w:r>
        <w:t xml:space="preserve">validated before use; the measurement error found in validation was carried into the decision model; and every</w:t>
      </w:r>
      <w:r>
        <w:t xml:space="preserve"> </w:t>
      </w:r>
      <w:r>
        <w:t xml:space="preserve">registered verdict agreed with its conventional frequentist counterpart. The code, data snapshot and results are</w:t>
      </w:r>
      <w:r>
        <w:t xml:space="preserve"> </w:t>
      </w:r>
      <w:r>
        <w:t xml:space="preserve">public, so every estimate can be rerun.</w:t>
      </w:r>
    </w:p>
    <w:p>
      <w:pPr>
        <w:pStyle w:val="BodyText"/>
      </w:pPr>
      <w:r>
        <w:t xml:space="preserve">It also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decided. Validation was on benchmark levels, which vary widely across ACOs, while the hypotheses</w:t>
      </w:r>
      <w:r>
        <w:t xml:space="preserve"> </w:t>
      </w:r>
      <w:r>
        <w:t xml:space="preserve">concern differences of a few points of the benchmark, so it says less about the accuracy of the gain than its</w:t>
      </w:r>
      <w:r>
        <w:t xml:space="preserve"> </w:t>
      </w:r>
      <w:r>
        <w:t xml:space="preserve">correlation suggests: repeated post hoc on the change scale, it gave a Spearman correlation of 0.61 and a median</w:t>
      </w:r>
      <w:r>
        <w:t xml:space="preserve"> </w:t>
      </w:r>
      <w:r>
        <w:t xml:space="preserve">absolute error of 1.7 points with little mean bias (−0.3), so group means are better supported than any one ACO’s</w:t>
      </w:r>
      <w:r>
        <w:t xml:space="preserve"> </w:t>
      </w:r>
      <w:r>
        <w:t xml:space="preserve">value; the own-spending component’s estimated error exceeds its spread, so the own-spending comparison and the total gain are weak evidence for</w:t>
      </w:r>
      <w:r>
        <w:t xml:space="preserve"> </w:t>
      </w:r>
      <w:r>
        <w:t xml:space="preserve">any single ACO, and the regional</w:t>
      </w:r>
      <w:r>
        <w:t xml:space="preserve"> </w:t>
      </w:r>
      <w:r>
        <w:t xml:space="preserve">part could not be checked. Third, with 29 early renewers, 24 in the decision model, the decision model was underpowered and its</w:t>
      </w:r>
      <w:r>
        <w:t xml:space="preserve"> </w:t>
      </w:r>
      <w:r>
        <w:t xml:space="preserve">supported coefficients are probably overestimates. ACOs under common ownership may decide together, and ACOs in the</w:t>
      </w:r>
      <w:r>
        <w:t xml:space="preserve"> </w:t>
      </w:r>
      <w:r>
        <w:t xml:space="preserve">same market share regional spending, so the effective sample is smaller than the ACO count, and the permutation tests,</w:t>
      </w:r>
      <w:r>
        <w:t xml:space="preserve"> </w:t>
      </w:r>
      <w:r>
        <w:t xml:space="preserve">which treat ACOs as exchangeable within cohort, may overstate precision. Fourth, exclusions exceeded the plan’s 10% line in both groups,</w:t>
      </w:r>
      <w:r>
        <w:t xml:space="preserve"> </w:t>
      </w:r>
      <w:r>
        <w:t xml:space="preserve">and the excluded ACOs were smaller, so the expected-gain comparisons and the decision model</w:t>
      </w:r>
      <w:r>
        <w:t xml:space="preserve"> </w:t>
      </w:r>
      <w:r>
        <w:t xml:space="preserve">describe the larger ACOs. Fifth, the spending comparison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while trade groups were asking CMS to allow</w:t>
      </w:r>
      <w:r>
        <w:t xml:space="preserve"> </w:t>
      </w:r>
      <w:r>
        <w:t xml:space="preserve">pre-pandemic benchmark years,</w:t>
      </w:r>
      <w:r>
        <w:t xml:space="preserve">[</w:t>
      </w:r>
      <w:hyperlink w:anchor="ref-aha2021">
        <w:r>
          <w:rPr>
            <w:rStyle w:val="Hyperlink"/>
          </w:rPr>
          <w:t xml:space="preserve">63</w:t>
        </w:r>
      </w:hyperlink>
      <w:r>
        <w:t xml:space="preserve">]</w:t>
      </w:r>
      <w:r>
        <w:t xml:space="preserve"> </w:t>
      </w:r>
      <w:r>
        <w:t xml:space="preserve">so anticipation and timing effects are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 enrollment record (22 cohort ACOs left before then); stayers include</w:t>
      </w:r>
      <w:r>
        <w:t xml:space="preserve"> </w:t>
      </w:r>
      <w:r>
        <w:t xml:space="preserve">42 ACOs that renewed early in 2023 or 2024, so the comparisons and the decision model describe the 2022 decision rather than early renewal at any</w:t>
      </w:r>
      <w:r>
        <w:t xml:space="preserve"> </w:t>
      </w:r>
      <w:r>
        <w:t xml:space="preserve">time;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</w:p>
    <w:bookmarkEnd w:id="55"/>
    <w:bookmarkStart w:id="56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this cohort, early renewal looks less like timing a reset for a higher benchmark than like the price of reaching</w:t>
      </w:r>
      <w:r>
        <w:t xml:space="preserve"> </w:t>
      </w:r>
      <w:r>
        <w:t xml:space="preserve">ENHANCED’s 75% sharing rate: the reset did not on average raise early renewers’ benchmarks, and almost all moved to</w:t>
      </w:r>
      <w:r>
        <w:t xml:space="preserve"> </w:t>
      </w:r>
      <w:r>
        <w:t xml:space="preserve">ENHANCED. Spending growth afterward showed no detectable difference. These are associations, measured with public</w:t>
      </w:r>
      <w:r>
        <w:t xml:space="preserve"> </w:t>
      </w:r>
      <w:r>
        <w:t xml:space="preserve">data under a preregistered plan, and the design cannot separate the motives. They extend the evidence that benchmark</w:t>
      </w:r>
      <w:r>
        <w:t xml:space="preserve"> </w:t>
      </w:r>
      <w:r>
        <w:t xml:space="preserve">rules sort ACOs to the timing of resets and give a baseline for the rules in force since 2024.</w:t>
      </w:r>
    </w:p>
    <w:bookmarkEnd w:id="56"/>
    <w:bookmarkEnd w:id="57"/>
    <w:bookmarkStart w:id="5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The author declared no financial support was received for this work.</w:t>
      </w:r>
    </w:p>
    <w:bookmarkEnd w:id="58"/>
    <w:bookmarkStart w:id="59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is employed as a data scientist at Indiana University Health. This study was conducted independently of</w:t>
      </w:r>
      <w:r>
        <w:t xml:space="preserve"> </w:t>
      </w:r>
      <w:r>
        <w:t xml:space="preserve">that employment, using only public data, and Indiana University Health had no role in its design, analysis,</w:t>
      </w:r>
      <w:r>
        <w:t xml:space="preserve"> </w:t>
      </w:r>
      <w:r>
        <w:t xml:space="preserve">interpretation or reporting. The author declares no other competing interests. The views expressed are the author’s</w:t>
      </w:r>
      <w:r>
        <w:t xml:space="preserve"> </w:t>
      </w:r>
      <w:r>
        <w:t xml:space="preserve">own and do not represent the official positions of Indiana University Health.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datasets generated or analyzed during this study are available in the Zenodo repository</w:t>
      </w:r>
      <w:r>
        <w:t xml:space="preserve">[</w:t>
      </w:r>
      <w:hyperlink w:anchor="ref-paperrepo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 </w:t>
      </w:r>
      <w:r>
        <w:t xml:space="preserve">and the</w:t>
      </w:r>
      <w:r>
        <w:t xml:space="preserve"> </w:t>
      </w:r>
      <w:r>
        <w:t xml:space="preserve">OSF project.</w:t>
      </w:r>
      <w:r>
        <w:t xml:space="preserve">[</w:t>
      </w:r>
      <w:hyperlink w:anchor="ref-osfproject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31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The list of the 40 files</w:t>
      </w:r>
      <w:r>
        <w:t xml:space="preserve"> </w:t>
      </w:r>
      <w:r>
        <w:t xml:space="preserve">downloaded, with sizes, SHA-256 hashes and URLs, and a script that downloads and verifies them are in the study</w:t>
      </w:r>
      <w:r>
        <w:t xml:space="preserve"> </w:t>
      </w:r>
      <w:r>
        <w:t xml:space="preserve">repository;</w:t>
      </w:r>
      <w:r>
        <w:t xml:space="preserve">[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 study repository and in this manuscript’s repository, archived on Zenodo with the post hoc</w:t>
      </w:r>
      <w:r>
        <w:t xml:space="preserve"> </w:t>
      </w:r>
      <w:r>
        <w:t xml:space="preserve">scripts.</w:t>
      </w:r>
      <w:r>
        <w:t xml:space="preserve">[</w:t>
      </w:r>
      <w:hyperlink w:anchor="ref-paperrepo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 </w:t>
      </w:r>
      <w:r>
        <w:t xml:space="preserve">The registered</w:t>
      </w:r>
      <w:r>
        <w:t xml:space="preserve"> </w:t>
      </w:r>
      <w:r>
        <w:t xml:space="preserve">analysis code (commit a4064f5), its tests and step-by-step instructions to rerun and adapt the analysis are in the study repository.</w:t>
      </w:r>
      <w:r>
        <w:t xml:space="preserve">[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A longer account</w:t>
      </w:r>
      <w:r>
        <w:t xml:space="preserve"> </w:t>
      </w:r>
      <w:r>
        <w:t xml:space="preserve">of the study for a general audience was published online.</w:t>
      </w:r>
      <w:r>
        <w:t xml:space="preserve">[</w:t>
      </w:r>
      <w:hyperlink w:anchor="ref-post">
        <w:r>
          <w:rPr>
            <w:rStyle w:val="Hyperlink"/>
          </w:rPr>
          <w:t xml:space="preserve">65</w:t>
        </w:r>
      </w:hyperlink>
      <w:r>
        <w:t xml:space="preserve">]</w:t>
      </w:r>
    </w:p>
    <w:bookmarkEnd w:id="60"/>
    <w:bookmarkStart w:id="61" w:name="authors-contributions"/>
    <w:p>
      <w:pPr>
        <w:pStyle w:val="Heading1"/>
      </w:pPr>
      <w:r>
        <w:t xml:space="preserve">Authors’ Contributions</w:t>
      </w:r>
    </w:p>
    <w:p>
      <w:pPr>
        <w:pStyle w:val="FirstParagraph"/>
      </w:pPr>
      <w:r>
        <w:t xml:space="preserve">STH: conceptualization, data curation, formal analysis, investigation, methodology, software, validation,</w:t>
      </w:r>
      <w:r>
        <w:t xml:space="preserve"> </w:t>
      </w:r>
      <w:r>
        <w:t xml:space="preserve">visualization, writing (original draft) and writing (review and editing). STH is accountable for all aspects of the</w:t>
      </w:r>
      <w:r>
        <w:t xml:space="preserve"> </w:t>
      </w:r>
      <w:r>
        <w:t xml:space="preserve">work.</w:t>
      </w:r>
    </w:p>
    <w:bookmarkEnd w:id="61"/>
    <w:bookmarkStart w:id="62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ACO: accountable care organization</w:t>
      </w:r>
      <w:r>
        <w:br/>
      </w:r>
      <w:r>
        <w:t xml:space="preserve">CFR: Code of Federal Regulations</w:t>
      </w:r>
      <w:r>
        <w:br/>
      </w:r>
      <w:r>
        <w:t xml:space="preserve">CMS: Centers for Medicare &amp; Medicaid Services</w:t>
      </w:r>
      <w:r>
        <w:br/>
      </w:r>
      <w:r>
        <w:t xml:space="preserve">CrI: credible interval</w:t>
      </w:r>
      <w:r>
        <w:br/>
      </w:r>
      <w:r>
        <w:t xml:space="preserve">ESRD: end-stage renal disease</w:t>
      </w:r>
      <w:r>
        <w:br/>
      </w:r>
      <w:r>
        <w:t xml:space="preserve">MDE: minimum detectable effect</w:t>
      </w:r>
      <w:r>
        <w:br/>
      </w:r>
      <w:r>
        <w:t xml:space="preserve">MSSP: Medicare Shared Savings Program</w:t>
      </w:r>
      <w:r>
        <w:br/>
      </w:r>
      <w:r>
        <w:t xml:space="preserve">OSF: Open Science Framework</w:t>
      </w:r>
      <w:r>
        <w:br/>
      </w:r>
      <w:r>
        <w:t xml:space="preserve">PY: performance year</w:t>
      </w:r>
    </w:p>
    <w:bookmarkEnd w:id="62"/>
    <w:bookmarkStart w:id="193" w:name="references"/>
    <w:p>
      <w:pPr>
        <w:pStyle w:val="Heading1"/>
      </w:pPr>
      <w:r>
        <w:t xml:space="preserve">References</w:t>
      </w:r>
    </w:p>
    <w:bookmarkStart w:id="192" w:name="refs"/>
    <w:bookmarkStart w:id="64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 Accessed October 28, 2026.</w:t>
      </w:r>
      <w:r>
        <w:t xml:space="preserve"> </w:t>
      </w:r>
      <w:hyperlink r:id="rId63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64"/>
    <w:bookmarkStart w:id="66" w:name="ref-sspfastfacts2026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fast facts: As of</w:t>
      </w:r>
      <w:r>
        <w:t xml:space="preserve"> </w:t>
      </w:r>
      <w:r>
        <w:t xml:space="preserve">January</w:t>
      </w:r>
      <w:r>
        <w:t xml:space="preserve"> </w:t>
      </w:r>
      <w:r>
        <w:t xml:space="preserve">1, 2026. Published online 2026. Accessed October 28, 2026.</w:t>
      </w:r>
      <w:r>
        <w:t xml:space="preserve"> </w:t>
      </w:r>
      <w:hyperlink r:id="rId65">
        <w:r>
          <w:rPr>
            <w:rStyle w:val="Hyperlink"/>
          </w:rPr>
          <w:t xml:space="preserve">https://www.cms.gov/files/document/2026-shared-savings-program-fast-facts.pdf</w:t>
        </w:r>
      </w:hyperlink>
    </w:p>
    <w:bookmarkEnd w:id="66"/>
    <w:bookmarkStart w:id="68" w:name="ref-cfr42560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 Accessed October 28, 2026.</w:t>
      </w:r>
      <w:r>
        <w:t xml:space="preserve"> </w:t>
      </w:r>
      <w:hyperlink r:id="rId67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68"/>
    <w:bookmarkStart w:id="70" w:name="ref-mcwilliams2016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69">
        <w:r>
          <w:rPr>
            <w:rStyle w:val="Hyperlink"/>
          </w:rPr>
          <w:t xml:space="preserve">10.1056/nejmsa1600142</w:t>
        </w:r>
      </w:hyperlink>
    </w:p>
    <w:bookmarkEnd w:id="70"/>
    <w:bookmarkStart w:id="72" w:name="ref-mcwilliams2018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71">
        <w:r>
          <w:rPr>
            <w:rStyle w:val="Hyperlink"/>
          </w:rPr>
          <w:t xml:space="preserve">10.1056/nejmsa1803388</w:t>
        </w:r>
      </w:hyperlink>
    </w:p>
    <w:bookmarkEnd w:id="72"/>
    <w:bookmarkStart w:id="74" w:name="ref-bond2025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73">
        <w:r>
          <w:rPr>
            <w:rStyle w:val="Hyperlink"/>
          </w:rPr>
          <w:t xml:space="preserve">10.1001/jama.2025.3870</w:t>
        </w:r>
      </w:hyperlink>
    </w:p>
    <w:bookmarkEnd w:id="74"/>
    <w:bookmarkStart w:id="76" w:name="ref-mcwilliams2020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75">
        <w:r>
          <w:rPr>
            <w:rStyle w:val="Hyperlink"/>
          </w:rPr>
          <w:t xml:space="preserve">10.1111/1468-0009.12468</w:t>
        </w:r>
      </w:hyperlink>
    </w:p>
    <w:bookmarkEnd w:id="76"/>
    <w:bookmarkStart w:id="78" w:name="ref-markovitz2019exit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77">
        <w:r>
          <w:rPr>
            <w:rStyle w:val="Hyperlink"/>
          </w:rPr>
          <w:t xml:space="preserve">10.7326/m18-2539</w:t>
        </w:r>
      </w:hyperlink>
    </w:p>
    <w:bookmarkEnd w:id="78"/>
    <w:bookmarkStart w:id="80" w:name="ref-markovitz2019risk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79">
        <w:r>
          <w:rPr>
            <w:rStyle w:val="Hyperlink"/>
          </w:rPr>
          <w:t xml:space="preserve">10.1377/hlthaff.2018.05407</w:t>
        </w:r>
      </w:hyperlink>
    </w:p>
    <w:bookmarkEnd w:id="80"/>
    <w:bookmarkStart w:id="82" w:name="ref-douven2015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81">
        <w:r>
          <w:rPr>
            <w:rStyle w:val="Hyperlink"/>
          </w:rPr>
          <w:t xml:space="preserve">10.1377/hlthaff.2014.0444</w:t>
        </w:r>
      </w:hyperlink>
    </w:p>
    <w:bookmarkEnd w:id="82"/>
    <w:bookmarkStart w:id="84" w:name="ref-weitzman1980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Weitzman ML. The</w:t>
      </w:r>
      <w:r>
        <w:t xml:space="preserve"> </w:t>
      </w:r>
      <w:r>
        <w:t xml:space="preserve">“Ratchet Principle”</w:t>
      </w:r>
      <w:r>
        <w:t xml:space="preserve"> </w:t>
      </w:r>
      <w:r>
        <w:t xml:space="preserve">and Performance Incentives.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. 1980;11(1):302. doi:</w:t>
      </w:r>
      <w:hyperlink r:id="rId83">
        <w:r>
          <w:rPr>
            <w:rStyle w:val="Hyperlink"/>
          </w:rPr>
          <w:t xml:space="preserve">10.2307/3003414</w:t>
        </w:r>
      </w:hyperlink>
    </w:p>
    <w:bookmarkEnd w:id="84"/>
    <w:bookmarkStart w:id="86" w:name="ref-cappello2026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Cappello A.</w:t>
      </w:r>
      <w:r>
        <w:t xml:space="preserve"> </w:t>
      </w:r>
      <w:r>
        <w:rPr>
          <w:i/>
          <w:iCs/>
        </w:rPr>
        <w:t xml:space="preserve">Essays in</w:t>
      </w:r>
      <w:r>
        <w:rPr>
          <w:i/>
          <w:iCs/>
        </w:rPr>
        <w:t xml:space="preserve"> </w:t>
      </w:r>
      <w:r>
        <w:rPr>
          <w:i/>
          <w:iCs/>
        </w:rPr>
        <w:t xml:space="preserve">Industrial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Health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. PhD dissertation. Boston College; 2026. Accessed October 28, 2026.</w:t>
      </w:r>
      <w:r>
        <w:t xml:space="preserve"> </w:t>
      </w:r>
      <w:hyperlink r:id="rId85">
        <w:r>
          <w:rPr>
            <w:rStyle w:val="Hyperlink"/>
          </w:rPr>
          <w:t xml:space="preserve">https://www.proquest.com/openview/92b6e8f86c7ba39e2ba879d91063898b/1</w:t>
        </w:r>
      </w:hyperlink>
    </w:p>
    <w:bookmarkEnd w:id="86"/>
    <w:bookmarkStart w:id="88" w:name="ref-rose201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87">
        <w:r>
          <w:rPr>
            <w:rStyle w:val="Hyperlink"/>
          </w:rPr>
          <w:t xml:space="preserve">10.1377/hlthaff.2015.1026</w:t>
        </w:r>
      </w:hyperlink>
    </w:p>
    <w:bookmarkEnd w:id="88"/>
    <w:bookmarkStart w:id="90" w:name="ref-lyu2023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89">
        <w:r>
          <w:rPr>
            <w:rStyle w:val="Hyperlink"/>
          </w:rPr>
          <w:t xml:space="preserve">10.1377/hlthaff.2022.01061</w:t>
        </w:r>
      </w:hyperlink>
    </w:p>
    <w:bookmarkEnd w:id="90"/>
    <w:bookmarkStart w:id="92" w:name="ref-chen202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91">
        <w:r>
          <w:rPr>
            <w:rStyle w:val="Hyperlink"/>
          </w:rPr>
          <w:t xml:space="preserve">10.1086/726748</w:t>
        </w:r>
      </w:hyperlink>
    </w:p>
    <w:bookmarkEnd w:id="92"/>
    <w:bookmarkStart w:id="94" w:name="ref-srivastava2026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93">
        <w:r>
          <w:rPr>
            <w:rStyle w:val="Hyperlink"/>
          </w:rPr>
          <w:t xml:space="preserve">10.1001/jamanetworkopen.2026.0166</w:t>
        </w:r>
      </w:hyperlink>
    </w:p>
    <w:bookmarkEnd w:id="94"/>
    <w:bookmarkStart w:id="96" w:name="ref-bleser2019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95">
        <w:r>
          <w:rPr>
            <w:rStyle w:val="Hyperlink"/>
          </w:rPr>
          <w:t xml:space="preserve">10.1377/hlthaff.2018.05097</w:t>
        </w:r>
      </w:hyperlink>
    </w:p>
    <w:bookmarkEnd w:id="96"/>
    <w:bookmarkStart w:id="98" w:name="ref-zhu2023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97">
        <w:r>
          <w:rPr>
            <w:rStyle w:val="Hyperlink"/>
          </w:rPr>
          <w:t xml:space="preserve">10.1111/jrh.12672</w:t>
        </w:r>
      </w:hyperlink>
    </w:p>
    <w:bookmarkEnd w:id="98"/>
    <w:bookmarkStart w:id="100" w:name="ref-ying2023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99">
        <w:r>
          <w:rPr>
            <w:rStyle w:val="Hyperlink"/>
          </w:rPr>
          <w:t xml:space="preserve">10.1007/s11606-022-07947-x</w:t>
        </w:r>
      </w:hyperlink>
    </w:p>
    <w:bookmarkEnd w:id="100"/>
    <w:bookmarkStart w:id="102" w:name="ref-ying2024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101">
        <w:r>
          <w:rPr>
            <w:rStyle w:val="Hyperlink"/>
          </w:rPr>
          <w:t xml:space="preserve">10.1093/haschl/qxad093</w:t>
        </w:r>
      </w:hyperlink>
    </w:p>
    <w:bookmarkEnd w:id="102"/>
    <w:bookmarkStart w:id="104" w:name="ref-moloci2021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103">
        <w:r>
          <w:rPr>
            <w:rStyle w:val="Hyperlink"/>
          </w:rPr>
          <w:t xml:space="preserve">10.1007/s11606-020-06424-7</w:t>
        </w:r>
      </w:hyperlink>
    </w:p>
    <w:bookmarkEnd w:id="104"/>
    <w:bookmarkStart w:id="106" w:name="ref-trombley2022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105">
        <w:r>
          <w:rPr>
            <w:rStyle w:val="Hyperlink"/>
          </w:rPr>
          <w:t xml:space="preserve">10.1377/hlthaff.2020.01819</w:t>
        </w:r>
      </w:hyperlink>
    </w:p>
    <w:bookmarkEnd w:id="106"/>
    <w:bookmarkStart w:id="108" w:name="ref-frpathways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 Accessed October 28, 2026.</w:t>
      </w:r>
      <w:r>
        <w:t xml:space="preserve"> </w:t>
      </w:r>
      <w:hyperlink r:id="rId107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108"/>
    <w:bookmarkStart w:id="110" w:name="ref-dataacos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109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110"/>
    <w:bookmarkStart w:id="112" w:name="ref-milliman2024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Smith M, Jensen B, Anderson J, Lockett K.</w:t>
      </w:r>
      <w: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ACO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Results for 2022</w:t>
      </w:r>
      <w:r>
        <w:t xml:space="preserve">. Milliman; 2024. Accessed October 28, 2026.</w:t>
      </w:r>
      <w:r>
        <w:t xml:space="preserve"> </w:t>
      </w:r>
      <w:hyperlink r:id="rId111">
        <w:r>
          <w:rPr>
            <w:rStyle w:val="Hyperlink"/>
          </w:rPr>
          <w:t xml:space="preserve">https://www.milliman.com/-/media/milliman/pdfs/2024-articles/4-2-24_medicare_shared_savings_program_aco_financial_results_for_2022.ashx</w:t>
        </w:r>
      </w:hyperlink>
    </w:p>
    <w:bookmarkEnd w:id="112"/>
    <w:bookmarkStart w:id="114" w:name="ref-milliman2025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Milliman.</w:t>
      </w:r>
      <w:r>
        <w:t xml:space="preserve"> </w:t>
      </w:r>
      <w:r>
        <w:rPr>
          <w:i/>
          <w:iCs/>
        </w:rPr>
        <w:t xml:space="preserve">Annual Renewal Considerations in the</w:t>
      </w:r>
      <w:r>
        <w:rPr>
          <w:i/>
          <w:iCs/>
        </w:rP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MSSP</w:t>
      </w:r>
      <w:r>
        <w:rPr>
          <w:i/>
          <w:iCs/>
        </w:rPr>
        <w:t xml:space="preserve">)</w:t>
      </w:r>
      <w:r>
        <w:t xml:space="preserve">. Milliman; 2025. Accessed October 28, 2026.</w:t>
      </w:r>
      <w:r>
        <w:t xml:space="preserve"> </w:t>
      </w:r>
      <w:hyperlink r:id="rId113">
        <w:r>
          <w:rPr>
            <w:rStyle w:val="Hyperlink"/>
          </w:rPr>
          <w:t xml:space="preserve">https://edge.sitecorecloud.io/millimaninc5660-milliman6442-prod27d5-0001/media/Milliman/PDFs/2025-Articles/4-7-25_MSSP-annual-renewal-considerations.pdf</w:t>
        </w:r>
      </w:hyperlink>
    </w:p>
    <w:bookmarkEnd w:id="114"/>
    <w:bookmarkStart w:id="116" w:name="ref-cfr2024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 Accessed October 28, 2026.</w:t>
      </w:r>
      <w:r>
        <w:t xml:space="preserve"> </w:t>
      </w:r>
      <w:hyperlink r:id="rId115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16"/>
    <w:bookmarkStart w:id="117" w:name="ref-registration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117"/>
    <w:bookmarkStart w:id="119" w:name="ref-vonelm2007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118">
        <w:r>
          <w:rPr>
            <w:rStyle w:val="Hyperlink"/>
          </w:rPr>
          <w:t xml:space="preserve">10.1371/journal.pmed.0040296</w:t>
        </w:r>
      </w:hyperlink>
    </w:p>
    <w:bookmarkEnd w:id="119"/>
    <w:bookmarkStart w:id="121" w:name="ref-code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 Accessed October 28, 2026.</w:t>
      </w:r>
      <w:r>
        <w:t xml:space="preserve"> </w:t>
      </w:r>
      <w:hyperlink r:id="rId120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121"/>
    <w:bookmarkStart w:id="123" w:name="ref-dataresults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122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123"/>
    <w:bookmarkStart w:id="125" w:name="ref-datacounty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124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125"/>
    <w:bookmarkStart w:id="127" w:name="ref-dataassigned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126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27"/>
    <w:bookmarkStart w:id="129" w:name="ref-osfproject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28">
        <w:r>
          <w:rPr>
            <w:rStyle w:val="Hyperlink"/>
          </w:rPr>
          <w:t xml:space="preserve">10.17605/OSF.IO/Z4AN5</w:t>
        </w:r>
      </w:hyperlink>
    </w:p>
    <w:bookmarkEnd w:id="129"/>
    <w:bookmarkStart w:id="131" w:name="ref-suppression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 Accessed October 28, 2026.</w:t>
      </w:r>
      <w:r>
        <w:t xml:space="preserve"> </w:t>
      </w:r>
      <w:hyperlink r:id="rId130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31"/>
    <w:bookmarkStart w:id="133" w:name="ref-specv10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 Accessed October 28, 2026.</w:t>
      </w:r>
      <w:r>
        <w:t xml:space="preserve"> </w:t>
      </w:r>
      <w:hyperlink r:id="rId132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33"/>
    <w:bookmarkStart w:id="135" w:name="ref-cfr425600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425.600:</w:t>
      </w:r>
      <w:r>
        <w:t xml:space="preserve"> </w:t>
      </w:r>
      <w:r>
        <w:t xml:space="preserve">Selection</w:t>
      </w:r>
      <w:r>
        <w:t xml:space="preserve"> </w:t>
      </w:r>
      <w:r>
        <w:t xml:space="preserve">of risk model. Published online 2022. Accessed October 28, 2026.</w:t>
      </w:r>
      <w:r>
        <w:t xml:space="preserve"> </w:t>
      </w:r>
      <w:hyperlink r:id="rId134">
        <w:r>
          <w:rPr>
            <w:rStyle w:val="Hyperlink"/>
          </w:rPr>
          <w:t xml:space="preserve">https://www.ecfr.gov/on/2022-01-01/title-42/chapter-IV/subchapter-B/part-425/subpart-G/section-425.600#p-425.600%28d%29</w:t>
        </w:r>
      </w:hyperlink>
    </w:p>
    <w:bookmarkEnd w:id="135"/>
    <w:bookmarkStart w:id="137" w:name="ref-rubin1981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36">
        <w:r>
          <w:rPr>
            <w:rStyle w:val="Hyperlink"/>
          </w:rPr>
          <w:t xml:space="preserve">10.1214/aos/1176345338</w:t>
        </w:r>
      </w:hyperlink>
    </w:p>
    <w:bookmarkEnd w:id="137"/>
    <w:bookmarkStart w:id="139" w:name="ref-phipson2010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38">
        <w:r>
          <w:rPr>
            <w:rStyle w:val="Hyperlink"/>
          </w:rPr>
          <w:t xml:space="preserve">10.2202/1544-6115.1585</w:t>
        </w:r>
      </w:hyperlink>
    </w:p>
    <w:bookmarkEnd w:id="139"/>
    <w:bookmarkStart w:id="141" w:name="ref-pymc2023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40">
        <w:r>
          <w:rPr>
            <w:rStyle w:val="Hyperlink"/>
          </w:rPr>
          <w:t xml:space="preserve">10.7717/peerj-cs.1516</w:t>
        </w:r>
      </w:hyperlink>
    </w:p>
    <w:bookmarkEnd w:id="141"/>
    <w:bookmarkStart w:id="143" w:name="ref-hoffman2014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 Accessed October 28, 2026.</w:t>
      </w:r>
      <w:r>
        <w:t xml:space="preserve"> </w:t>
      </w:r>
      <w:hyperlink r:id="rId142">
        <w:r>
          <w:rPr>
            <w:rStyle w:val="Hyperlink"/>
          </w:rPr>
          <w:t xml:space="preserve">https://jmlr.org/papers/v15/hoffman14a.html</w:t>
        </w:r>
      </w:hyperlink>
    </w:p>
    <w:bookmarkEnd w:id="143"/>
    <w:bookmarkStart w:id="145" w:name="ref-gelman2008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44">
        <w:r>
          <w:rPr>
            <w:rStyle w:val="Hyperlink"/>
          </w:rPr>
          <w:t xml:space="preserve">10.1002/sim.3107</w:t>
        </w:r>
      </w:hyperlink>
    </w:p>
    <w:bookmarkEnd w:id="145"/>
    <w:bookmarkStart w:id="147" w:name="ref-vehtari2021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46">
        <w:r>
          <w:rPr>
            <w:rStyle w:val="Hyperlink"/>
          </w:rPr>
          <w:t xml:space="preserve">10.1214/20-ba1221</w:t>
        </w:r>
      </w:hyperlink>
    </w:p>
    <w:bookmarkEnd w:id="147"/>
    <w:bookmarkStart w:id="149" w:name="ref-firth1993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48">
        <w:r>
          <w:rPr>
            <w:rStyle w:val="Hyperlink"/>
          </w:rPr>
          <w:t xml:space="preserve">10.1093/biomet/80.1.27</w:t>
        </w:r>
      </w:hyperlink>
    </w:p>
    <w:bookmarkEnd w:id="149"/>
    <w:bookmarkStart w:id="151" w:name="ref-firthmodels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 Accessed October 28, 2026.</w:t>
      </w:r>
      <w:r>
        <w:t xml:space="preserve"> </w:t>
      </w:r>
      <w:hyperlink r:id="rId150">
        <w:r>
          <w:rPr>
            <w:rStyle w:val="Hyperlink"/>
          </w:rPr>
          <w:t xml:space="preserve">https://github.com/jzluo/firthmodels</w:t>
        </w:r>
      </w:hyperlink>
    </w:p>
    <w:bookmarkEnd w:id="151"/>
    <w:bookmarkStart w:id="153" w:name="ref-gelmanprior2008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52">
        <w:r>
          <w:rPr>
            <w:rStyle w:val="Hyperlink"/>
          </w:rPr>
          <w:t xml:space="preserve">10.1214/08-aoas191</w:t>
        </w:r>
      </w:hyperlink>
    </w:p>
    <w:bookmarkEnd w:id="153"/>
    <w:bookmarkStart w:id="155" w:name="ref-callaway2021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54">
        <w:r>
          <w:rPr>
            <w:rStyle w:val="Hyperlink"/>
          </w:rPr>
          <w:t xml:space="preserve">10.1016/j.jeconom.2020.12.001</w:t>
        </w:r>
      </w:hyperlink>
    </w:p>
    <w:bookmarkEnd w:id="155"/>
    <w:bookmarkStart w:id="157" w:name="ref-roth2022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56">
        <w:r>
          <w:rPr>
            <w:rStyle w:val="Hyperlink"/>
          </w:rPr>
          <w:t xml:space="preserve">10.1257/aeri.20210236</w:t>
        </w:r>
      </w:hyperlink>
    </w:p>
    <w:bookmarkEnd w:id="157"/>
    <w:bookmarkStart w:id="159" w:name="ref-lakens2017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58">
        <w:r>
          <w:rPr>
            <w:rStyle w:val="Hyperlink"/>
          </w:rPr>
          <w:t xml:space="preserve">10.1177/1948550617697177</w:t>
        </w:r>
      </w:hyperlink>
    </w:p>
    <w:bookmarkEnd w:id="159"/>
    <w:bookmarkStart w:id="161" w:name="ref-rambachan2023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60">
        <w:r>
          <w:rPr>
            <w:rStyle w:val="Hyperlink"/>
          </w:rPr>
          <w:t xml:space="preserve">10.1093/restud/rdad018</w:t>
        </w:r>
      </w:hyperlink>
    </w:p>
    <w:bookmarkEnd w:id="161"/>
    <w:bookmarkStart w:id="163" w:name="ref-rosenbaum1983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62">
        <w:r>
          <w:rPr>
            <w:rStyle w:val="Hyperlink"/>
          </w:rPr>
          <w:t xml:space="preserve">10.1093/biomet/70.1.41</w:t>
        </w:r>
      </w:hyperlink>
    </w:p>
    <w:bookmarkEnd w:id="163"/>
    <w:bookmarkStart w:id="165" w:name="ref-welch1947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64">
        <w:r>
          <w:rPr>
            <w:rStyle w:val="Hyperlink"/>
          </w:rPr>
          <w:t xml:space="preserve">10.1093/biomet/34.1-2.28</w:t>
        </w:r>
      </w:hyperlink>
    </w:p>
    <w:bookmarkEnd w:id="165"/>
    <w:bookmarkStart w:id="167" w:name="ref-mackinnon1985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66">
        <w:r>
          <w:rPr>
            <w:rStyle w:val="Hyperlink"/>
          </w:rPr>
          <w:t xml:space="preserve">10.1016/0304-4076(85)90158-7</w:t>
        </w:r>
      </w:hyperlink>
    </w:p>
    <w:bookmarkEnd w:id="167"/>
    <w:bookmarkStart w:id="169" w:name="ref-statsmodels2010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68">
        <w:r>
          <w:rPr>
            <w:rStyle w:val="Hyperlink"/>
          </w:rPr>
          <w:t xml:space="preserve">10.25080/majora-92bf1922-011</w:t>
        </w:r>
      </w:hyperlink>
    </w:p>
    <w:bookmarkEnd w:id="169"/>
    <w:bookmarkStart w:id="171" w:name="ref-dbt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 Accessed October 28, 2026.</w:t>
      </w:r>
      <w:r>
        <w:t xml:space="preserve"> </w:t>
      </w:r>
      <w:hyperlink r:id="rId170">
        <w:r>
          <w:rPr>
            <w:rStyle w:val="Hyperlink"/>
          </w:rPr>
          <w:t xml:space="preserve">https://github.com/dbt-labs/dbt-core</w:t>
        </w:r>
      </w:hyperlink>
    </w:p>
    <w:bookmarkEnd w:id="171"/>
    <w:bookmarkStart w:id="173" w:name="ref-duckdb2019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72">
        <w:r>
          <w:rPr>
            <w:rStyle w:val="Hyperlink"/>
          </w:rPr>
          <w:t xml:space="preserve">10.1145/3299869.3320212</w:t>
        </w:r>
      </w:hyperlink>
    </w:p>
    <w:bookmarkEnd w:id="173"/>
    <w:bookmarkStart w:id="175" w:name="ref-uv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 Accessed October 28, 2026.</w:t>
      </w:r>
      <w:r>
        <w:t xml:space="preserve"> </w:t>
      </w:r>
      <w:hyperlink r:id="rId174">
        <w:r>
          <w:rPr>
            <w:rStyle w:val="Hyperlink"/>
          </w:rPr>
          <w:t xml:space="preserve">https://github.com/astral-sh/uv</w:t>
        </w:r>
      </w:hyperlink>
    </w:p>
    <w:bookmarkEnd w:id="175"/>
    <w:bookmarkStart w:id="177" w:name="ref-arviz2019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76">
        <w:r>
          <w:rPr>
            <w:rStyle w:val="Hyperlink"/>
          </w:rPr>
          <w:t xml:space="preserve">10.21105/joss.01143</w:t>
        </w:r>
      </w:hyperlink>
    </w:p>
    <w:bookmarkEnd w:id="177"/>
    <w:bookmarkStart w:id="179" w:name="ref-numpy2020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78">
        <w:r>
          <w:rPr>
            <w:rStyle w:val="Hyperlink"/>
          </w:rPr>
          <w:t xml:space="preserve">10.1038/s41586-020-2649-2</w:t>
        </w:r>
      </w:hyperlink>
    </w:p>
    <w:bookmarkEnd w:id="179"/>
    <w:bookmarkStart w:id="181" w:name="ref-cfr46102"/>
    <w:p>
      <w:pPr>
        <w:pStyle w:val="Bibliography"/>
      </w:pPr>
      <w:r>
        <w:t xml:space="preserve">60.</w:t>
      </w:r>
      <w:r>
        <w:t xml:space="preserve"> </w:t>
      </w:r>
      <w:r>
        <w:t xml:space="preserve">	</w:t>
      </w:r>
      <w:r>
        <w:t xml:space="preserve">US Department of Health and Human Services. 45</w:t>
      </w:r>
      <w:r>
        <w:t xml:space="preserve"> </w:t>
      </w:r>
      <w:r>
        <w:t xml:space="preserve">CFR</w:t>
      </w:r>
      <w:r>
        <w:t xml:space="preserve"> </w:t>
      </w:r>
      <w:r>
        <w:t xml:space="preserve">46.102:</w:t>
      </w:r>
      <w:r>
        <w:t xml:space="preserve"> </w:t>
      </w:r>
      <w:r>
        <w:t xml:space="preserve">Definitions</w:t>
      </w:r>
      <w:r>
        <w:t xml:space="preserve"> </w:t>
      </w:r>
      <w:r>
        <w:t xml:space="preserve">for purposes of this policy. Published online 2026. Accessed October 28, 2026.</w:t>
      </w:r>
      <w:r>
        <w:t xml:space="preserve"> </w:t>
      </w:r>
      <w:hyperlink r:id="rId180">
        <w:r>
          <w:rPr>
            <w:rStyle w:val="Hyperlink"/>
          </w:rPr>
          <w:t xml:space="preserve">https://www.ecfr.gov/on/2026-10-01/title-45/subtitle-A/subchapter-A/part-46/subpart-A/section-46.102#p-46.102%28e%29%281%29</w:t>
        </w:r>
      </w:hyperlink>
    </w:p>
    <w:bookmarkEnd w:id="181"/>
    <w:bookmarkStart w:id="183" w:name="ref-gelmancarlin2014"/>
    <w:p>
      <w:pPr>
        <w:pStyle w:val="Bibliography"/>
      </w:pPr>
      <w:r>
        <w:t xml:space="preserve">61.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82">
        <w:r>
          <w:rPr>
            <w:rStyle w:val="Hyperlink"/>
          </w:rPr>
          <w:t xml:space="preserve">10.1177/1745691614551642</w:t>
        </w:r>
      </w:hyperlink>
    </w:p>
    <w:bookmarkEnd w:id="183"/>
    <w:bookmarkStart w:id="185" w:name="ref-einav2022"/>
    <w:p>
      <w:pPr>
        <w:pStyle w:val="Bibliography"/>
      </w:pPr>
      <w:r>
        <w:t xml:space="preserve">62.</w:t>
      </w:r>
      <w:r>
        <w:t xml:space="preserve"> </w:t>
      </w:r>
      <w:r>
        <w:t xml:space="preserve">	</w:t>
      </w:r>
      <w:r>
        <w:t xml:space="preserve">Einav L, Finkelstein A, Ji Y, Mahoney N. Voluntary Regulation: Evidence from Medicare Payment Reform.</w:t>
      </w:r>
      <w:r>
        <w:t xml:space="preserve"> </w:t>
      </w:r>
      <w:r>
        <w:rPr>
          <w:i/>
          <w:iCs/>
        </w:rPr>
        <w:t xml:space="preserve">The Quarterly Journal of Economics</w:t>
      </w:r>
      <w:r>
        <w:t xml:space="preserve">. 2021;137(1):565-618. doi:</w:t>
      </w:r>
      <w:hyperlink r:id="rId184">
        <w:r>
          <w:rPr>
            <w:rStyle w:val="Hyperlink"/>
          </w:rPr>
          <w:t xml:space="preserve">10.1093/qje/qjab035</w:t>
        </w:r>
      </w:hyperlink>
    </w:p>
    <w:bookmarkEnd w:id="185"/>
    <w:bookmarkStart w:id="187" w:name="ref-aha2021"/>
    <w:p>
      <w:pPr>
        <w:pStyle w:val="Bibliography"/>
      </w:pPr>
      <w:r>
        <w:t xml:space="preserve">63.</w:t>
      </w:r>
      <w:r>
        <w:t xml:space="preserve"> </w:t>
      </w:r>
      <w:r>
        <w:t xml:space="preserve">	</w:t>
      </w:r>
      <w:r>
        <w:t xml:space="preserve">American Hospital Association, National Association of ACOs, et al.</w:t>
      </w:r>
      <w:r>
        <w:t xml:space="preserve"> Letter to</w:t>
      </w:r>
      <w:r>
        <w:t xml:space="preserve"> </w:t>
      </w:r>
      <w:r>
        <w:t xml:space="preserve">CMS</w:t>
      </w:r>
      <w:r>
        <w:t xml:space="preserve">: Request to provide</w:t>
      </w:r>
      <w:r>
        <w:t xml:space="preserve"> </w:t>
      </w:r>
      <w:r>
        <w:t xml:space="preserve">MSSP</w:t>
      </w:r>
      <w:r>
        <w:t xml:space="preserve"> </w:t>
      </w:r>
      <w:r>
        <w:t xml:space="preserve">ACOs</w:t>
      </w:r>
      <w:r>
        <w:t xml:space="preserve"> </w:t>
      </w:r>
      <w:r>
        <w:t xml:space="preserve">an option to use pre-pandemic years to set benchmarks. Published online 2021. Accessed October 28, 2026.</w:t>
      </w:r>
      <w:r>
        <w:t xml:space="preserve"> </w:t>
      </w:r>
      <w:hyperlink r:id="rId186">
        <w:r>
          <w:rPr>
            <w:rStyle w:val="Hyperlink"/>
          </w:rPr>
          <w:t xml:space="preserve">https://www.aha.org/lettercomment/2021-10-14-aha-others-cms-re-request-provide-mssp-acos-option-use-pre-pandemic-years</w:t>
        </w:r>
      </w:hyperlink>
    </w:p>
    <w:bookmarkEnd w:id="187"/>
    <w:bookmarkStart w:id="189" w:name="ref-paperrepo"/>
    <w:p>
      <w:pPr>
        <w:pStyle w:val="Bibliography"/>
      </w:pPr>
      <w:r>
        <w:t xml:space="preserve">64.</w:t>
      </w:r>
      <w:r>
        <w:t xml:space="preserve"> </w:t>
      </w:r>
      <w:r>
        <w:t xml:space="preserve">	</w:t>
      </w:r>
      <w:r>
        <w:t xml:space="preserve">Harrold ST. Manuscript, data and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study: Text, generated tables and figures, committed results files and post hoc scripts. Published online 2026. doi:</w:t>
      </w:r>
      <w:hyperlink r:id="rId188">
        <w:r>
          <w:rPr>
            <w:rStyle w:val="Hyperlink"/>
          </w:rPr>
          <w:t xml:space="preserve">10.5281/zenodo.23737045</w:t>
        </w:r>
      </w:hyperlink>
    </w:p>
    <w:bookmarkEnd w:id="189"/>
    <w:bookmarkStart w:id="191" w:name="ref-post"/>
    <w:p>
      <w:pPr>
        <w:pStyle w:val="Bibliography"/>
      </w:pPr>
      <w:r>
        <w:t xml:space="preserve">65.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 Accessed October 28, 2026.</w:t>
      </w:r>
      <w:r>
        <w:t xml:space="preserve"> </w:t>
      </w:r>
      <w:hyperlink r:id="rId190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91"/>
    <w:bookmarkEnd w:id="192"/>
    <w:bookmarkEnd w:id="193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hyperlink" Id="rId109" Target="https://data.cms.gov/medicare-shared-savings-program/accountable-care-organizations" TargetMode="External" /><Relationship Type="http://schemas.openxmlformats.org/officeDocument/2006/relationships/hyperlink" Id="rId124" Target="https://data.cms.gov/medicare-shared-savings-program/county-level-aggregate-expenditure-and-risk-score-data-on-assignable-beneficiaries" TargetMode="External" /><Relationship Type="http://schemas.openxmlformats.org/officeDocument/2006/relationships/hyperlink" Id="rId126" Target="https://data.cms.gov/medicare-shared-savings-program/number-of-accountable-care-organization-assigned-beneficiaries-by-county" TargetMode="External" /><Relationship Type="http://schemas.openxmlformats.org/officeDocument/2006/relationships/hyperlink" Id="rId122" Target="https://data.cms.gov/medicare-shared-savings-program/performance-year-financial-and-quality-results" TargetMode="External" /><Relationship Type="http://schemas.openxmlformats.org/officeDocument/2006/relationships/hyperlink" Id="rId73" Target="https://doi.org/10.1001/jama.2025.3870" TargetMode="External" /><Relationship Type="http://schemas.openxmlformats.org/officeDocument/2006/relationships/hyperlink" Id="rId93" Target="https://doi.org/10.1001/jamanetworkopen.2026.0166" TargetMode="External" /><Relationship Type="http://schemas.openxmlformats.org/officeDocument/2006/relationships/hyperlink" Id="rId144" Target="https://doi.org/10.1002/sim.3107" TargetMode="External" /><Relationship Type="http://schemas.openxmlformats.org/officeDocument/2006/relationships/hyperlink" Id="rId103" Target="https://doi.org/10.1007/s11606-020-06424-7" TargetMode="External" /><Relationship Type="http://schemas.openxmlformats.org/officeDocument/2006/relationships/hyperlink" Id="rId99" Target="https://doi.org/10.1007/s11606-022-07947-x" TargetMode="External" /><Relationship Type="http://schemas.openxmlformats.org/officeDocument/2006/relationships/hyperlink" Id="rId166" Target="https://doi.org/10.1016/0304-4076(85)90158-7" TargetMode="External" /><Relationship Type="http://schemas.openxmlformats.org/officeDocument/2006/relationships/hyperlink" Id="rId154" Target="https://doi.org/10.1016/j.jeconom.2020.12.001" TargetMode="External" /><Relationship Type="http://schemas.openxmlformats.org/officeDocument/2006/relationships/hyperlink" Id="rId178" Target="https://doi.org/10.1038/s41586-020-2649-2" TargetMode="External" /><Relationship Type="http://schemas.openxmlformats.org/officeDocument/2006/relationships/hyperlink" Id="rId69" Target="https://doi.org/10.1056/nejmsa1600142" TargetMode="External" /><Relationship Type="http://schemas.openxmlformats.org/officeDocument/2006/relationships/hyperlink" Id="rId71" Target="https://doi.org/10.1056/nejmsa1803388" TargetMode="External" /><Relationship Type="http://schemas.openxmlformats.org/officeDocument/2006/relationships/hyperlink" Id="rId91" Target="https://doi.org/10.1086/726748" TargetMode="External" /><Relationship Type="http://schemas.openxmlformats.org/officeDocument/2006/relationships/hyperlink" Id="rId164" Target="https://doi.org/10.1093/biomet/34.1-2.28" TargetMode="External" /><Relationship Type="http://schemas.openxmlformats.org/officeDocument/2006/relationships/hyperlink" Id="rId162" Target="https://doi.org/10.1093/biomet/70.1.41" TargetMode="External" /><Relationship Type="http://schemas.openxmlformats.org/officeDocument/2006/relationships/hyperlink" Id="rId148" Target="https://doi.org/10.1093/biomet/80.1.27" TargetMode="External" /><Relationship Type="http://schemas.openxmlformats.org/officeDocument/2006/relationships/hyperlink" Id="rId101" Target="https://doi.org/10.1093/haschl/qxad093" TargetMode="External" /><Relationship Type="http://schemas.openxmlformats.org/officeDocument/2006/relationships/hyperlink" Id="rId184" Target="https://doi.org/10.1093/qje/qjab035" TargetMode="External" /><Relationship Type="http://schemas.openxmlformats.org/officeDocument/2006/relationships/hyperlink" Id="rId160" Target="https://doi.org/10.1093/restud/rdad018" TargetMode="External" /><Relationship Type="http://schemas.openxmlformats.org/officeDocument/2006/relationships/hyperlink" Id="rId75" Target="https://doi.org/10.1111/1468-0009.12468" TargetMode="External" /><Relationship Type="http://schemas.openxmlformats.org/officeDocument/2006/relationships/hyperlink" Id="rId97" Target="https://doi.org/10.1111/jrh.12672" TargetMode="External" /><Relationship Type="http://schemas.openxmlformats.org/officeDocument/2006/relationships/hyperlink" Id="rId172" Target="https://doi.org/10.1145/3299869.3320212" TargetMode="External" /><Relationship Type="http://schemas.openxmlformats.org/officeDocument/2006/relationships/hyperlink" Id="rId182" Target="https://doi.org/10.1177/1745691614551642" TargetMode="External" /><Relationship Type="http://schemas.openxmlformats.org/officeDocument/2006/relationships/hyperlink" Id="rId158" Target="https://doi.org/10.1177/1948550617697177" TargetMode="External" /><Relationship Type="http://schemas.openxmlformats.org/officeDocument/2006/relationships/hyperlink" Id="rId152" Target="https://doi.org/10.1214/08-aoas191" TargetMode="External" /><Relationship Type="http://schemas.openxmlformats.org/officeDocument/2006/relationships/hyperlink" Id="rId146" Target="https://doi.org/10.1214/20-ba1221" TargetMode="External" /><Relationship Type="http://schemas.openxmlformats.org/officeDocument/2006/relationships/hyperlink" Id="rId136" Target="https://doi.org/10.1214/aos/1176345338" TargetMode="External" /><Relationship Type="http://schemas.openxmlformats.org/officeDocument/2006/relationships/hyperlink" Id="rId156" Target="https://doi.org/10.1257/aeri.20210236" TargetMode="External" /><Relationship Type="http://schemas.openxmlformats.org/officeDocument/2006/relationships/hyperlink" Id="rId118" Target="https://doi.org/10.1371/journal.pmed.0040296" TargetMode="External" /><Relationship Type="http://schemas.openxmlformats.org/officeDocument/2006/relationships/hyperlink" Id="rId81" Target="https://doi.org/10.1377/hlthaff.2014.0444" TargetMode="External" /><Relationship Type="http://schemas.openxmlformats.org/officeDocument/2006/relationships/hyperlink" Id="rId87" Target="https://doi.org/10.1377/hlthaff.2015.1026" TargetMode="External" /><Relationship Type="http://schemas.openxmlformats.org/officeDocument/2006/relationships/hyperlink" Id="rId95" Target="https://doi.org/10.1377/hlthaff.2018.05097" TargetMode="External" /><Relationship Type="http://schemas.openxmlformats.org/officeDocument/2006/relationships/hyperlink" Id="rId79" Target="https://doi.org/10.1377/hlthaff.2018.05407" TargetMode="External" /><Relationship Type="http://schemas.openxmlformats.org/officeDocument/2006/relationships/hyperlink" Id="rId105" Target="https://doi.org/10.1377/hlthaff.2020.01819" TargetMode="External" /><Relationship Type="http://schemas.openxmlformats.org/officeDocument/2006/relationships/hyperlink" Id="rId8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8" Target="https://doi.org/10.17605/OSF.IO/Z4AN5" TargetMode="External" /><Relationship Type="http://schemas.openxmlformats.org/officeDocument/2006/relationships/hyperlink" Id="rId176" Target="https://doi.org/10.21105/joss.01143" TargetMode="External" /><Relationship Type="http://schemas.openxmlformats.org/officeDocument/2006/relationships/hyperlink" Id="rId138" Target="https://doi.org/10.2202/1544-6115.1585" TargetMode="External" /><Relationship Type="http://schemas.openxmlformats.org/officeDocument/2006/relationships/hyperlink" Id="rId83" Target="https://doi.org/10.2307/3003414" TargetMode="External" /><Relationship Type="http://schemas.openxmlformats.org/officeDocument/2006/relationships/hyperlink" Id="rId168" Target="https://doi.org/10.25080/majora-92bf1922-011" TargetMode="External" /><Relationship Type="http://schemas.openxmlformats.org/officeDocument/2006/relationships/hyperlink" Id="rId188" Target="https://doi.org/10.5281/zenodo.23737045" TargetMode="External" /><Relationship Type="http://schemas.openxmlformats.org/officeDocument/2006/relationships/hyperlink" Id="rId77" Target="https://doi.org/10.7326/m18-2539" TargetMode="External" /><Relationship Type="http://schemas.openxmlformats.org/officeDocument/2006/relationships/hyperlink" Id="rId140" Target="https://doi.org/10.7717/peerj-cs.1516" TargetMode="External" /><Relationship Type="http://schemas.openxmlformats.org/officeDocument/2006/relationships/hyperlink" Id="rId11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74" Target="https://github.com/astral-sh/uv" TargetMode="External" /><Relationship Type="http://schemas.openxmlformats.org/officeDocument/2006/relationships/hyperlink" Id="rId170" Target="https://github.com/dbt-labs/dbt-core" TargetMode="External" /><Relationship Type="http://schemas.openxmlformats.org/officeDocument/2006/relationships/hyperlink" Id="rId150" Target="https://github.com/jzluo/firthmodels" TargetMode="External" /><Relationship Type="http://schemas.openxmlformats.org/officeDocument/2006/relationships/hyperlink" Id="rId120" Target="https://github.com/stharrold/stharrold.github.io/tree/a4064f592a492d971ce3c27e95afb3050e6bc01d/analysis/mssp-benchmark-ratchet" TargetMode="External" /><Relationship Type="http://schemas.openxmlformats.org/officeDocument/2006/relationships/hyperlink" Id="rId142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90" Target="https://stharrold.github.io/20261027-preregistered-mssp-early-renewal.html" TargetMode="External" /><Relationship Type="http://schemas.openxmlformats.org/officeDocument/2006/relationships/hyperlink" Id="rId130" Target="https://web.archive.org/web/20250516214605/https://www.hhs.gov/guidance/document/cms-cell-suppression-policy" TargetMode="External" /><Relationship Type="http://schemas.openxmlformats.org/officeDocument/2006/relationships/hyperlink" Id="rId186" Target="https://www.aha.org/lettercomment/2021-10-14-aha-others-cms-re-request-provide-mssp-acos-option-use-pre-pandemic-years" TargetMode="External" /><Relationship Type="http://schemas.openxmlformats.org/officeDocument/2006/relationships/hyperlink" Id="rId65" Target="https://www.cms.gov/files/document/2026-shared-savings-program-fast-facts.pdf" TargetMode="External" /><Relationship Type="http://schemas.openxmlformats.org/officeDocument/2006/relationships/hyperlink" Id="rId132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34" Target="https://www.ecfr.gov/on/2022-01-01/title-42/chapter-IV/subchapter-B/part-425/subpart-G/section-425.600#p-425.600%28d%29" TargetMode="External" /><Relationship Type="http://schemas.openxmlformats.org/officeDocument/2006/relationships/hyperlink" Id="rId67" Target="https://www.ecfr.gov/on/2022-01-01/title-42/chapter-IV/subchapter-B/part-425/subpart-G/section-425.601" TargetMode="External" /><Relationship Type="http://schemas.openxmlformats.org/officeDocument/2006/relationships/hyperlink" Id="rId115" Target="https://www.ecfr.gov/on/2024-01-01/title-42/chapter-IV/subchapter-B/part-425/subpart-G/section-425.652" TargetMode="External" /><Relationship Type="http://schemas.openxmlformats.org/officeDocument/2006/relationships/hyperlink" Id="rId180" Target="https://www.ecfr.gov/on/2026-10-01/title-45/subtitle-A/subchapter-A/part-46/subpart-A/section-46.102#p-46.102%28e%29%281%29" TargetMode="External" /><Relationship Type="http://schemas.openxmlformats.org/officeDocument/2006/relationships/hyperlink" Id="rId10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11" Target="https://www.milliman.com/-/media/milliman/pdfs/2024-articles/4-2-24_medicare_shared_savings_program_aco_financial_results_for_2022.ashx" TargetMode="External" /><Relationship Type="http://schemas.openxmlformats.org/officeDocument/2006/relationships/hyperlink" Id="rId85" Target="https://www.proquest.com/openview/92b6e8f86c7ba39e2ba879d91063898b/1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data.cms.gov/medicare-shared-savings-program/accountable-care-organizations" TargetMode="External" /><Relationship Type="http://schemas.openxmlformats.org/officeDocument/2006/relationships/hyperlink" Id="rId124" Target="https://data.cms.gov/medicare-shared-savings-program/county-level-aggregate-expenditure-and-risk-score-data-on-assignable-beneficiaries" TargetMode="External" /><Relationship Type="http://schemas.openxmlformats.org/officeDocument/2006/relationships/hyperlink" Id="rId126" Target="https://data.cms.gov/medicare-shared-savings-program/number-of-accountable-care-organization-assigned-beneficiaries-by-county" TargetMode="External" /><Relationship Type="http://schemas.openxmlformats.org/officeDocument/2006/relationships/hyperlink" Id="rId122" Target="https://data.cms.gov/medicare-shared-savings-program/performance-year-financial-and-quality-results" TargetMode="External" /><Relationship Type="http://schemas.openxmlformats.org/officeDocument/2006/relationships/hyperlink" Id="rId73" Target="https://doi.org/10.1001/jama.2025.3870" TargetMode="External" /><Relationship Type="http://schemas.openxmlformats.org/officeDocument/2006/relationships/hyperlink" Id="rId93" Target="https://doi.org/10.1001/jamanetworkopen.2026.0166" TargetMode="External" /><Relationship Type="http://schemas.openxmlformats.org/officeDocument/2006/relationships/hyperlink" Id="rId144" Target="https://doi.org/10.1002/sim.3107" TargetMode="External" /><Relationship Type="http://schemas.openxmlformats.org/officeDocument/2006/relationships/hyperlink" Id="rId103" Target="https://doi.org/10.1007/s11606-020-06424-7" TargetMode="External" /><Relationship Type="http://schemas.openxmlformats.org/officeDocument/2006/relationships/hyperlink" Id="rId99" Target="https://doi.org/10.1007/s11606-022-07947-x" TargetMode="External" /><Relationship Type="http://schemas.openxmlformats.org/officeDocument/2006/relationships/hyperlink" Id="rId166" Target="https://doi.org/10.1016/0304-4076(85)90158-7" TargetMode="External" /><Relationship Type="http://schemas.openxmlformats.org/officeDocument/2006/relationships/hyperlink" Id="rId154" Target="https://doi.org/10.1016/j.jeconom.2020.12.001" TargetMode="External" /><Relationship Type="http://schemas.openxmlformats.org/officeDocument/2006/relationships/hyperlink" Id="rId178" Target="https://doi.org/10.1038/s41586-020-2649-2" TargetMode="External" /><Relationship Type="http://schemas.openxmlformats.org/officeDocument/2006/relationships/hyperlink" Id="rId69" Target="https://doi.org/10.1056/nejmsa1600142" TargetMode="External" /><Relationship Type="http://schemas.openxmlformats.org/officeDocument/2006/relationships/hyperlink" Id="rId71" Target="https://doi.org/10.1056/nejmsa1803388" TargetMode="External" /><Relationship Type="http://schemas.openxmlformats.org/officeDocument/2006/relationships/hyperlink" Id="rId91" Target="https://doi.org/10.1086/726748" TargetMode="External" /><Relationship Type="http://schemas.openxmlformats.org/officeDocument/2006/relationships/hyperlink" Id="rId164" Target="https://doi.org/10.1093/biomet/34.1-2.28" TargetMode="External" /><Relationship Type="http://schemas.openxmlformats.org/officeDocument/2006/relationships/hyperlink" Id="rId162" Target="https://doi.org/10.1093/biomet/70.1.41" TargetMode="External" /><Relationship Type="http://schemas.openxmlformats.org/officeDocument/2006/relationships/hyperlink" Id="rId148" Target="https://doi.org/10.1093/biomet/80.1.27" TargetMode="External" /><Relationship Type="http://schemas.openxmlformats.org/officeDocument/2006/relationships/hyperlink" Id="rId101" Target="https://doi.org/10.1093/haschl/qxad093" TargetMode="External" /><Relationship Type="http://schemas.openxmlformats.org/officeDocument/2006/relationships/hyperlink" Id="rId184" Target="https://doi.org/10.1093/qje/qjab035" TargetMode="External" /><Relationship Type="http://schemas.openxmlformats.org/officeDocument/2006/relationships/hyperlink" Id="rId160" Target="https://doi.org/10.1093/restud/rdad018" TargetMode="External" /><Relationship Type="http://schemas.openxmlformats.org/officeDocument/2006/relationships/hyperlink" Id="rId75" Target="https://doi.org/10.1111/1468-0009.12468" TargetMode="External" /><Relationship Type="http://schemas.openxmlformats.org/officeDocument/2006/relationships/hyperlink" Id="rId97" Target="https://doi.org/10.1111/jrh.12672" TargetMode="External" /><Relationship Type="http://schemas.openxmlformats.org/officeDocument/2006/relationships/hyperlink" Id="rId172" Target="https://doi.org/10.1145/3299869.3320212" TargetMode="External" /><Relationship Type="http://schemas.openxmlformats.org/officeDocument/2006/relationships/hyperlink" Id="rId182" Target="https://doi.org/10.1177/1745691614551642" TargetMode="External" /><Relationship Type="http://schemas.openxmlformats.org/officeDocument/2006/relationships/hyperlink" Id="rId158" Target="https://doi.org/10.1177/1948550617697177" TargetMode="External" /><Relationship Type="http://schemas.openxmlformats.org/officeDocument/2006/relationships/hyperlink" Id="rId152" Target="https://doi.org/10.1214/08-aoas191" TargetMode="External" /><Relationship Type="http://schemas.openxmlformats.org/officeDocument/2006/relationships/hyperlink" Id="rId146" Target="https://doi.org/10.1214/20-ba1221" TargetMode="External" /><Relationship Type="http://schemas.openxmlformats.org/officeDocument/2006/relationships/hyperlink" Id="rId136" Target="https://doi.org/10.1214/aos/1176345338" TargetMode="External" /><Relationship Type="http://schemas.openxmlformats.org/officeDocument/2006/relationships/hyperlink" Id="rId156" Target="https://doi.org/10.1257/aeri.20210236" TargetMode="External" /><Relationship Type="http://schemas.openxmlformats.org/officeDocument/2006/relationships/hyperlink" Id="rId118" Target="https://doi.org/10.1371/journal.pmed.0040296" TargetMode="External" /><Relationship Type="http://schemas.openxmlformats.org/officeDocument/2006/relationships/hyperlink" Id="rId81" Target="https://doi.org/10.1377/hlthaff.2014.0444" TargetMode="External" /><Relationship Type="http://schemas.openxmlformats.org/officeDocument/2006/relationships/hyperlink" Id="rId87" Target="https://doi.org/10.1377/hlthaff.2015.1026" TargetMode="External" /><Relationship Type="http://schemas.openxmlformats.org/officeDocument/2006/relationships/hyperlink" Id="rId95" Target="https://doi.org/10.1377/hlthaff.2018.05097" TargetMode="External" /><Relationship Type="http://schemas.openxmlformats.org/officeDocument/2006/relationships/hyperlink" Id="rId79" Target="https://doi.org/10.1377/hlthaff.2018.05407" TargetMode="External" /><Relationship Type="http://schemas.openxmlformats.org/officeDocument/2006/relationships/hyperlink" Id="rId105" Target="https://doi.org/10.1377/hlthaff.2020.01819" TargetMode="External" /><Relationship Type="http://schemas.openxmlformats.org/officeDocument/2006/relationships/hyperlink" Id="rId8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8" Target="https://doi.org/10.17605/OSF.IO/Z4AN5" TargetMode="External" /><Relationship Type="http://schemas.openxmlformats.org/officeDocument/2006/relationships/hyperlink" Id="rId176" Target="https://doi.org/10.21105/joss.01143" TargetMode="External" /><Relationship Type="http://schemas.openxmlformats.org/officeDocument/2006/relationships/hyperlink" Id="rId138" Target="https://doi.org/10.2202/1544-6115.1585" TargetMode="External" /><Relationship Type="http://schemas.openxmlformats.org/officeDocument/2006/relationships/hyperlink" Id="rId83" Target="https://doi.org/10.2307/3003414" TargetMode="External" /><Relationship Type="http://schemas.openxmlformats.org/officeDocument/2006/relationships/hyperlink" Id="rId168" Target="https://doi.org/10.25080/majora-92bf1922-011" TargetMode="External" /><Relationship Type="http://schemas.openxmlformats.org/officeDocument/2006/relationships/hyperlink" Id="rId188" Target="https://doi.org/10.5281/zenodo.23737045" TargetMode="External" /><Relationship Type="http://schemas.openxmlformats.org/officeDocument/2006/relationships/hyperlink" Id="rId77" Target="https://doi.org/10.7326/m18-2539" TargetMode="External" /><Relationship Type="http://schemas.openxmlformats.org/officeDocument/2006/relationships/hyperlink" Id="rId140" Target="https://doi.org/10.7717/peerj-cs.1516" TargetMode="External" /><Relationship Type="http://schemas.openxmlformats.org/officeDocument/2006/relationships/hyperlink" Id="rId11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74" Target="https://github.com/astral-sh/uv" TargetMode="External" /><Relationship Type="http://schemas.openxmlformats.org/officeDocument/2006/relationships/hyperlink" Id="rId170" Target="https://github.com/dbt-labs/dbt-core" TargetMode="External" /><Relationship Type="http://schemas.openxmlformats.org/officeDocument/2006/relationships/hyperlink" Id="rId150" Target="https://github.com/jzluo/firthmodels" TargetMode="External" /><Relationship Type="http://schemas.openxmlformats.org/officeDocument/2006/relationships/hyperlink" Id="rId120" Target="https://github.com/stharrold/stharrold.github.io/tree/a4064f592a492d971ce3c27e95afb3050e6bc01d/analysis/mssp-benchmark-ratchet" TargetMode="External" /><Relationship Type="http://schemas.openxmlformats.org/officeDocument/2006/relationships/hyperlink" Id="rId142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90" Target="https://stharrold.github.io/20261027-preregistered-mssp-early-renewal.html" TargetMode="External" /><Relationship Type="http://schemas.openxmlformats.org/officeDocument/2006/relationships/hyperlink" Id="rId130" Target="https://web.archive.org/web/20250516214605/https://www.hhs.gov/guidance/document/cms-cell-suppression-policy" TargetMode="External" /><Relationship Type="http://schemas.openxmlformats.org/officeDocument/2006/relationships/hyperlink" Id="rId186" Target="https://www.aha.org/lettercomment/2021-10-14-aha-others-cms-re-request-provide-mssp-acos-option-use-pre-pandemic-years" TargetMode="External" /><Relationship Type="http://schemas.openxmlformats.org/officeDocument/2006/relationships/hyperlink" Id="rId65" Target="https://www.cms.gov/files/document/2026-shared-savings-program-fast-facts.pdf" TargetMode="External" /><Relationship Type="http://schemas.openxmlformats.org/officeDocument/2006/relationships/hyperlink" Id="rId132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34" Target="https://www.ecfr.gov/on/2022-01-01/title-42/chapter-IV/subchapter-B/part-425/subpart-G/section-425.600#p-425.600%28d%29" TargetMode="External" /><Relationship Type="http://schemas.openxmlformats.org/officeDocument/2006/relationships/hyperlink" Id="rId67" Target="https://www.ecfr.gov/on/2022-01-01/title-42/chapter-IV/subchapter-B/part-425/subpart-G/section-425.601" TargetMode="External" /><Relationship Type="http://schemas.openxmlformats.org/officeDocument/2006/relationships/hyperlink" Id="rId115" Target="https://www.ecfr.gov/on/2024-01-01/title-42/chapter-IV/subchapter-B/part-425/subpart-G/section-425.652" TargetMode="External" /><Relationship Type="http://schemas.openxmlformats.org/officeDocument/2006/relationships/hyperlink" Id="rId180" Target="https://www.ecfr.gov/on/2026-10-01/title-45/subtitle-A/subchapter-A/part-46/subpart-A/section-46.102#p-46.102%28e%29%281%29" TargetMode="External" /><Relationship Type="http://schemas.openxmlformats.org/officeDocument/2006/relationships/hyperlink" Id="rId10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11" Target="https://www.milliman.com/-/media/milliman/pdfs/2024-articles/4-2-24_medicare_shared_savings_program_aco_financial_results_for_2022.ashx" TargetMode="External" /><Relationship Type="http://schemas.openxmlformats.org/officeDocument/2006/relationships/hyperlink" Id="rId85" Target="https://www.proquest.com/openview/92b6e8f86c7ba39e2ba879d91063898b/1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2026-10-28T17:22:10Z</dcterms:created>
  <dcterms:modified xsi:type="dcterms:W3CDTF">2026-10-28T17:22:10Z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