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 2. STROBE checklist. 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Multimedia Appendix 1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2901"/>
        <w:gridCol w:w="650"/>
        <w:gridCol w:w="2785"/>
        <w:gridCol w:w="30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5;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13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9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2-3; Figures 2-4; eTables 3, 6,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">
        <w:r>
          <w:rPr>
            <w:rStyle w:val="Hyperlink"/>
          </w:rPr>
          <w:t xml:space="preserve">10.1371/journal.pmed.0040296</w:t>
        </w:r>
      </w:hyperlink>
    </w:p>
    <w:bookmarkEnd w:id="10"/>
    <w:bookmarkEnd w:id="11"/>
    <w:bookmarkEnd w:id="12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 2. STROBE checklist. 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2026-10-28T17:22:17Z</dcterms:created>
  <dcterms:modified xsi:type="dcterms:W3CDTF">2026-10-28T17:22:17Z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