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Multimedia Appendix 1. Early Renewal of Accountable Care Organization Agreements to Reset Benchmarks in the Medicare Shared Savings Program: Preregistered Retrospective Cohort Study</w:t>
      </w:r>
    </w:p>
    <w:p>
      <w:pPr>
        <w:pStyle w:val="Author"/>
      </w:pPr>
      <w:r>
        <w:t xml:space="preserve">Samuel Thomas Harrold</w:t>
      </w:r>
    </w:p>
    <w:p>
      <w:pPr>
        <w:pStyle w:val="Date"/>
      </w:pPr>
      <w:r>
        <w:t xml:space="preserve">October 2026</w:t>
      </w:r>
    </w:p>
    <w:p>
      <w:pPr>
        <w:pStyle w:val="FirstParagraph"/>
      </w:pPr>
      <w:r>
        <w:rPr>
          <w:b/>
          <w:bCs/>
        </w:rPr>
        <w:t xml:space="preserve">Contents</w:t>
      </w:r>
    </w:p>
    <w:p>
      <w:pPr>
        <w:pStyle w:val="Compact"/>
        <w:numPr>
          <w:ilvl w:val="0"/>
          <w:numId w:val="1001"/>
        </w:numPr>
      </w:pPr>
      <w:r>
        <w:t xml:space="preserve">eTable 1. Validation of the rebuilt benchmark</w:t>
      </w:r>
    </w:p>
    <w:p>
      <w:pPr>
        <w:pStyle w:val="Compact"/>
        <w:numPr>
          <w:ilvl w:val="0"/>
          <w:numId w:val="1001"/>
        </w:numPr>
      </w:pPr>
      <w:r>
        <w:t xml:space="preserve">eTable 2. Power analysis</w:t>
      </w:r>
    </w:p>
    <w:p>
      <w:pPr>
        <w:pStyle w:val="Compact"/>
        <w:numPr>
          <w:ilvl w:val="0"/>
          <w:numId w:val="1001"/>
        </w:numPr>
      </w:pPr>
      <w:r>
        <w:t xml:space="preserve">eTable 3. Robustness of the group comparisons</w:t>
      </w:r>
    </w:p>
    <w:p>
      <w:pPr>
        <w:pStyle w:val="Compact"/>
        <w:numPr>
          <w:ilvl w:val="0"/>
          <w:numId w:val="1001"/>
        </w:numPr>
      </w:pPr>
      <w:r>
        <w:t xml:space="preserve">eTable 4. Robustness of the decision model (H3)</w:t>
      </w:r>
    </w:p>
    <w:p>
      <w:pPr>
        <w:pStyle w:val="Compact"/>
        <w:numPr>
          <w:ilvl w:val="0"/>
          <w:numId w:val="1001"/>
        </w:numPr>
      </w:pPr>
      <w:r>
        <w:t xml:space="preserve">eTable 5. Convergence and predictive checks of the decision model</w:t>
      </w:r>
    </w:p>
    <w:p>
      <w:pPr>
        <w:pStyle w:val="Compact"/>
        <w:numPr>
          <w:ilvl w:val="0"/>
          <w:numId w:val="1001"/>
        </w:numPr>
      </w:pPr>
      <w:r>
        <w:t xml:space="preserve">eTable 6. Conventional (frequentist) counterparts</w:t>
      </w:r>
    </w:p>
    <w:p>
      <w:pPr>
        <w:pStyle w:val="Compact"/>
        <w:numPr>
          <w:ilvl w:val="0"/>
          <w:numId w:val="1001"/>
        </w:numPr>
      </w:pPr>
      <w:r>
        <w:t xml:space="preserve">eTable 7. Agreement of registered and conventional verdicts</w:t>
      </w:r>
    </w:p>
    <w:p>
      <w:pPr>
        <w:pStyle w:val="Compact"/>
        <w:numPr>
          <w:ilvl w:val="0"/>
          <w:numId w:val="1001"/>
        </w:numPr>
      </w:pPr>
      <w:r>
        <w:t xml:space="preserve">eTable 8. Spending growth after early renewal (H4), with the pre-trend and robustness estimates</w:t>
      </w:r>
    </w:p>
    <w:p>
      <w:pPr>
        <w:pStyle w:val="Compact"/>
        <w:numPr>
          <w:ilvl w:val="0"/>
          <w:numId w:val="1001"/>
        </w:numPr>
      </w:pPr>
      <w:r>
        <w:t xml:space="preserve">eTable 9. Attrition from the H4 spending panel</w:t>
      </w:r>
    </w:p>
    <w:p>
      <w:pPr>
        <w:pStyle w:val="Compact"/>
        <w:numPr>
          <w:ilvl w:val="0"/>
          <w:numId w:val="1001"/>
        </w:numPr>
      </w:pPr>
      <w:r>
        <w:t xml:space="preserve">eTable 10. Exploratory analyses</w:t>
      </w:r>
    </w:p>
    <w:p>
      <w:pPr>
        <w:pStyle w:val="Compact"/>
        <w:numPr>
          <w:ilvl w:val="0"/>
          <w:numId w:val="1001"/>
        </w:numPr>
      </w:pPr>
      <w:r>
        <w:t xml:space="preserve">eTable 11. The 2 early renewers already in ENHANCED</w:t>
      </w:r>
    </w:p>
    <w:p>
      <w:pPr>
        <w:pStyle w:val="Compact"/>
        <w:numPr>
          <w:ilvl w:val="0"/>
          <w:numId w:val="1001"/>
        </w:numPr>
      </w:pPr>
      <w:r>
        <w:t xml:space="preserve">eTable 12. Per-capita spending by agreement year</w:t>
      </w:r>
    </w:p>
    <w:p>
      <w:pPr>
        <w:pStyle w:val="Compact"/>
        <w:numPr>
          <w:ilvl w:val="0"/>
          <w:numId w:val="1001"/>
        </w:numPr>
      </w:pPr>
      <w:r>
        <w:t xml:space="preserve">eTable 13. Post hoc checks against CMS’s published 2022 benchmarks and of the regional pull against past savings (not registered)</w:t>
      </w:r>
    </w:p>
    <w:p>
      <w:pPr>
        <w:pStyle w:val="Compact"/>
        <w:numPr>
          <w:ilvl w:val="0"/>
          <w:numId w:val="1001"/>
        </w:numPr>
      </w:pPr>
      <w:r>
        <w:t xml:space="preserve">eMethods. Registration record (eTable 14) and deviations</w:t>
      </w:r>
    </w:p>
    <w:p>
      <w:pPr>
        <w:pStyle w:val="FirstParagraph"/>
      </w:pPr>
      <w:r>
        <w:t xml:space="preserve">All tables are generated from the committed results files by</w:t>
      </w:r>
      <w:r>
        <w:t xml:space="preserve"> </w:t>
      </w:r>
      <w:r>
        <w:rPr>
          <w:rStyle w:val="VerbatimChar"/>
        </w:rPr>
        <w:t xml:space="preserve">scripts/make_tables.py</w:t>
      </w:r>
      <w:r>
        <w:t xml:space="preserve"> </w:t>
      </w:r>
      <w:r>
        <w:t xml:space="preserve">in the manuscript repository.</w:t>
      </w:r>
      <w:r>
        <w:t xml:space="preserve"> </w:t>
      </w:r>
      <w:r>
        <w:t xml:space="preserve">Item and section numbers refer to the registered analysis plan (</w:t>
      </w:r>
      <w:r>
        <w:rPr>
          <w:rStyle w:val="VerbatimChar"/>
        </w:rPr>
        <w:t xml:space="preserve">PREREGISTRATION.md</w:t>
      </w:r>
      <w:r>
        <w:t xml:space="preserve">, version 0.6).</w:t>
      </w:r>
      <w:r>
        <w:t xml:space="preserve">[</w:t>
      </w:r>
      <w:hyperlink w:anchor="ref-registration">
        <w:r>
          <w:rPr>
            <w:rStyle w:val="Hyperlink"/>
          </w:rPr>
          <w:t xml:space="preserve">1</w:t>
        </w:r>
      </w:hyperlink>
      <w:r>
        <w:t xml:space="preserve">]</w:t>
      </w:r>
    </w:p>
    <w:p>
      <w:pPr>
        <w:pStyle w:val="TableCaption"/>
      </w:pPr>
      <w:r>
        <w:t xml:space="preserve">eTable 1. Validation of the rebuilt benchmark against benchmarks CMS published for regular renewers</w:t>
      </w:r>
    </w:p>
    <w:tbl>
      <w:tblPr>
        <w:tblStyle w:val="Table"/>
        <w:tblW w:type="pct" w:w="5000"/>
        <w:tblLayout w:type="fixed"/>
        <w:tblLook w:firstRow="1" w:lastRow="0" w:firstColumn="0" w:lastColumn="0" w:noHBand="0" w:noVBand="0" w:val="0020"/>
        <w:tblCaption w:val="eTable 1. Validation of the rebuilt benchmark against benchmarks CMS published for regular renewers"/>
      </w:tblPr>
      <w:tblGrid>
        <w:gridCol w:w="2915"/>
        <w:gridCol w:w="987"/>
        <w:gridCol w:w="1338"/>
        <w:gridCol w:w="1610"/>
        <w:gridCol w:w="910"/>
        <w:gridCol w:w="1600"/>
      </w:tblGrid>
      <w:tr>
        <w:trPr>
          <w:tblHeader w:val="on"/>
        </w:trPr>
        <w:tc>
          <w:tcPr/>
          <w:p>
            <w:pPr>
              <w:pStyle w:val="Compact"/>
              <w:jc w:val="left"/>
            </w:pPr>
            <w:r>
              <w:t xml:space="preserve">Check</w:t>
            </w:r>
          </w:p>
        </w:tc>
        <w:tc>
          <w:tcPr/>
          <w:p>
            <w:pPr>
              <w:pStyle w:val="Compact"/>
              <w:jc w:val="right"/>
            </w:pPr>
            <w:r>
              <w:t xml:space="preserve">ACOs, No.</w:t>
            </w:r>
          </w:p>
        </w:tc>
        <w:tc>
          <w:tcPr/>
          <w:p>
            <w:pPr>
              <w:pStyle w:val="Compact"/>
              <w:jc w:val="right"/>
            </w:pPr>
            <w:r>
              <w:t xml:space="preserve">Spearman ρ</w:t>
            </w:r>
          </w:p>
        </w:tc>
        <w:tc>
          <w:tcPr/>
          <w:p>
            <w:pPr>
              <w:pStyle w:val="Compact"/>
              <w:jc w:val="right"/>
            </w:pPr>
            <w:r>
              <w:t xml:space="preserve">Median absolute error, %</w:t>
            </w:r>
          </w:p>
        </w:tc>
        <w:tc>
          <w:tcPr/>
          <w:p>
            <w:pPr>
              <w:pStyle w:val="Compact"/>
              <w:jc w:val="right"/>
            </w:pPr>
            <w:r>
              <w:t xml:space="preserve">Slope</w:t>
            </w:r>
          </w:p>
        </w:tc>
        <w:tc>
          <w:tcPr/>
          <w:p>
            <w:pPr>
              <w:pStyle w:val="Compact"/>
              <w:jc w:val="right"/>
            </w:pPr>
            <w:r>
              <w:t xml:space="preserve">Intercept, $</w:t>
            </w:r>
          </w:p>
        </w:tc>
      </w:tr>
      <w:tr>
        <w:tc>
          <w:tcPr/>
          <w:p>
            <w:pPr>
              <w:pStyle w:val="Compact"/>
              <w:jc w:val="left"/>
            </w:pPr>
            <w:r>
              <w:t xml:space="preserve">Rebuilt 2022 benchmark, all</w:t>
            </w:r>
          </w:p>
        </w:tc>
        <w:tc>
          <w:tcPr/>
          <w:p>
            <w:pPr>
              <w:pStyle w:val="Compact"/>
              <w:jc w:val="right"/>
            </w:pPr>
            <w:r>
              <w:t xml:space="preserve">101</w:t>
            </w:r>
          </w:p>
        </w:tc>
        <w:tc>
          <w:tcPr/>
          <w:p>
            <w:pPr>
              <w:pStyle w:val="Compact"/>
              <w:jc w:val="right"/>
            </w:pPr>
            <w:r>
              <w:t xml:space="preserve">0.94</w:t>
            </w:r>
          </w:p>
        </w:tc>
        <w:tc>
          <w:tcPr/>
          <w:p>
            <w:pPr>
              <w:pStyle w:val="Compact"/>
              <w:jc w:val="right"/>
            </w:pPr>
            <w:r>
              <w:t xml:space="preserve">1.6</w:t>
            </w:r>
          </w:p>
        </w:tc>
        <w:tc>
          <w:tcPr/>
          <w:p>
            <w:pPr>
              <w:pStyle w:val="Compact"/>
              <w:jc w:val="right"/>
            </w:pPr>
            <w:r>
              <w:t xml:space="preserve">0.944</w:t>
            </w:r>
          </w:p>
        </w:tc>
        <w:tc>
          <w:tcPr/>
          <w:p>
            <w:pPr>
              <w:pStyle w:val="Compact"/>
              <w:jc w:val="right"/>
            </w:pPr>
            <w:r>
              <w:t xml:space="preserve">664</w:t>
            </w:r>
          </w:p>
        </w:tc>
      </w:tr>
      <w:tr>
        <w:tc>
          <w:tcPr/>
          <w:p>
            <w:pPr>
              <w:pStyle w:val="Compact"/>
              <w:jc w:val="left"/>
            </w:pPr>
            <w:r>
              <w:t xml:space="preserve">    ACOs at the first phase-in step</w:t>
            </w:r>
          </w:p>
        </w:tc>
        <w:tc>
          <w:tcPr/>
          <w:p>
            <w:pPr>
              <w:pStyle w:val="Compact"/>
              <w:jc w:val="right"/>
            </w:pPr>
            <w:r>
              <w:t xml:space="preserve">62</w:t>
            </w:r>
          </w:p>
        </w:tc>
        <w:tc>
          <w:tcPr/>
          <w:p>
            <w:pPr>
              <w:pStyle w:val="Compact"/>
              <w:jc w:val="right"/>
            </w:pPr>
            <w:r>
              <w:t xml:space="preserve">0.93</w:t>
            </w:r>
          </w:p>
        </w:tc>
        <w:tc>
          <w:tcPr/>
          <w:p>
            <w:pPr>
              <w:pStyle w:val="Compact"/>
              <w:jc w:val="right"/>
            </w:pPr>
            <w:r>
              <w:t xml:space="preserve">2.0</w:t>
            </w:r>
          </w:p>
        </w:tc>
        <w:tc>
          <w:tcPr/>
          <w:p>
            <w:pPr>
              <w:pStyle w:val="Compact"/>
              <w:jc w:val="right"/>
            </w:pPr>
            <w:r>
              <w:t xml:space="preserve">0.917</w:t>
            </w:r>
          </w:p>
        </w:tc>
        <w:tc>
          <w:tcPr/>
          <w:p>
            <w:pPr>
              <w:pStyle w:val="Compact"/>
              <w:jc w:val="right"/>
            </w:pPr>
            <w:r>
              <w:t xml:space="preserve">886</w:t>
            </w:r>
          </w:p>
        </w:tc>
      </w:tr>
      <w:tr>
        <w:tc>
          <w:tcPr/>
          <w:p>
            <w:pPr>
              <w:pStyle w:val="Compact"/>
              <w:jc w:val="left"/>
            </w:pPr>
            <w:r>
              <w:t xml:space="preserve">    ACOs at the second phase-in step</w:t>
            </w:r>
          </w:p>
        </w:tc>
        <w:tc>
          <w:tcPr/>
          <w:p>
            <w:pPr>
              <w:pStyle w:val="Compact"/>
              <w:jc w:val="right"/>
            </w:pPr>
            <w:r>
              <w:t xml:space="preserve">39</w:t>
            </w:r>
          </w:p>
        </w:tc>
        <w:tc>
          <w:tcPr/>
          <w:p>
            <w:pPr>
              <w:pStyle w:val="Compact"/>
              <w:jc w:val="right"/>
            </w:pPr>
            <w:r>
              <w:t xml:space="preserve">0.96</w:t>
            </w:r>
          </w:p>
        </w:tc>
        <w:tc>
          <w:tcPr/>
          <w:p>
            <w:pPr>
              <w:pStyle w:val="Compact"/>
              <w:jc w:val="right"/>
            </w:pPr>
            <w:r>
              <w:t xml:space="preserve">0.9</w:t>
            </w:r>
          </w:p>
        </w:tc>
        <w:tc>
          <w:tcPr/>
          <w:p>
            <w:pPr>
              <w:pStyle w:val="Compact"/>
              <w:jc w:val="right"/>
            </w:pPr>
            <w:r>
              <w:t xml:space="preserve">1.017</w:t>
            </w:r>
          </w:p>
        </w:tc>
        <w:tc>
          <w:tcPr/>
          <w:p>
            <w:pPr>
              <w:pStyle w:val="Compact"/>
              <w:jc w:val="right"/>
            </w:pPr>
            <w:r>
              <w:t xml:space="preserve">−47</w:t>
            </w:r>
          </w:p>
        </w:tc>
      </w:tr>
      <w:tr>
        <w:tc>
          <w:tcPr/>
          <w:p>
            <w:pPr>
              <w:pStyle w:val="Compact"/>
              <w:jc w:val="left"/>
            </w:pPr>
            <w:r>
              <w:t xml:space="preserve">Own-spending part (step 1) vs CMS benchmark-year spending</w:t>
            </w:r>
          </w:p>
        </w:tc>
        <w:tc>
          <w:tcPr/>
          <w:p>
            <w:pPr>
              <w:pStyle w:val="Compact"/>
              <w:jc w:val="right"/>
            </w:pPr>
            <w:r>
              <w:t xml:space="preserve">101</w:t>
            </w:r>
          </w:p>
        </w:tc>
        <w:tc>
          <w:tcPr/>
          <w:p>
            <w:pPr>
              <w:pStyle w:val="Compact"/>
              <w:jc w:val="right"/>
            </w:pPr>
            <w:r>
              <w:t xml:space="preserve">0.95</w:t>
            </w:r>
          </w:p>
        </w:tc>
        <w:tc>
          <w:tcPr/>
          <w:p>
            <w:pPr>
              <w:pStyle w:val="Compact"/>
              <w:jc w:val="right"/>
            </w:pPr>
            <w:r>
              <w:t xml:space="preserve">1.4</w:t>
            </w:r>
          </w:p>
        </w:tc>
        <w:tc>
          <w:tcPr/>
          <w:p>
            <w:pPr>
              <w:pStyle w:val="Compact"/>
              <w:jc w:val="right"/>
            </w:pPr>
            <w:r>
              <w:t xml:space="preserve">0.940</w:t>
            </w:r>
          </w:p>
        </w:tc>
        <w:tc>
          <w:tcPr/>
          <w:p>
            <w:pPr>
              <w:pStyle w:val="Compact"/>
              <w:jc w:val="right"/>
            </w:pPr>
            <w:r>
              <w:t xml:space="preserve">676</w:t>
            </w:r>
          </w:p>
        </w:tc>
      </w:tr>
    </w:tbl>
    <w:p>
      <w:pPr>
        <w:pStyle w:val="BodyText"/>
      </w:pPr>
      <w:r>
        <w:t xml:space="preserve">Validation sample: regular renewers whose 2022 benchmarks CMS publishes (101 of 111 eligible; the rest lack either the rebuilt or the published benchmark). Early renewers were excluded from the sample, and the 2022 results file was filtered as it was loaded. Registered pass rule: Spearman correlation at least 0.80 and median absolute percentage error at most 5%; calibration only if the slope of actual on rebuilt fell outside 0.9 to 1.1. Result: passed, no calibration. The error SD of the step-1 check sets the measurement-error SD of the own-spending component,</w:t>
      </w:r>
      <w:r>
        <w:t xml:space="preserve"> </w:t>
      </w:r>
      <m:oMath>
        <m:sSub>
          <m:e>
            <m:r>
              <m:t>σ</m:t>
            </m:r>
          </m:e>
          <m:sub>
            <m:r>
              <m:t>v</m:t>
            </m:r>
          </m:sub>
        </m:sSub>
      </m:oMath>
      <w:r>
        <w:t xml:space="preserve"> </w:t>
      </w:r>
      <w:r>
        <w:t xml:space="preserve">= 4.38 pp.</w:t>
      </w:r>
    </w:p>
    <w:p>
      <w:pPr>
        <w:pStyle w:val="TableCaption"/>
      </w:pPr>
      <w:r>
        <w:t xml:space="preserve">eTable 2. Power analysis</w:t>
      </w:r>
    </w:p>
    <w:tbl>
      <w:tblPr>
        <w:tblStyle w:val="Table"/>
        <w:tblW w:type="pct" w:w="5000"/>
        <w:tblLayout w:type="fixed"/>
        <w:tblLook w:firstRow="1" w:lastRow="0" w:firstColumn="0" w:lastColumn="0" w:noHBand="0" w:noVBand="0" w:val="0020"/>
        <w:tblCaption w:val="eTable 2. Power analysis"/>
      </w:tblPr>
      <w:tblGrid>
        <w:gridCol w:w="2336"/>
        <w:gridCol w:w="2967"/>
        <w:gridCol w:w="2076"/>
        <w:gridCol w:w="1981"/>
      </w:tblGrid>
      <w:tr>
        <w:trPr>
          <w:tblHeader w:val="on"/>
        </w:trPr>
        <w:tc>
          <w:tcPr/>
          <w:p>
            <w:pPr>
              <w:pStyle w:val="Compact"/>
              <w:jc w:val="left"/>
            </w:pPr>
            <w:r>
              <w:t xml:space="preserve">Test</w:t>
            </w:r>
          </w:p>
        </w:tc>
        <w:tc>
          <w:tcPr/>
          <w:p>
            <w:pPr>
              <w:pStyle w:val="Compact"/>
              <w:jc w:val="left"/>
            </w:pPr>
            <w:r>
              <w:t xml:space="preserve">Spread used</w:t>
            </w:r>
          </w:p>
        </w:tc>
        <w:tc>
          <w:tcPr/>
          <w:p>
            <w:pPr>
              <w:pStyle w:val="Compact"/>
              <w:jc w:val="right"/>
            </w:pPr>
            <w:r>
              <w:t xml:space="preserve">Minimum detectable effect</w:t>
            </w:r>
          </w:p>
        </w:tc>
        <w:tc>
          <w:tcPr/>
          <w:p>
            <w:pPr>
              <w:pStyle w:val="Compact"/>
              <w:jc w:val="left"/>
            </w:pPr>
            <w:r>
              <w:t xml:space="preserve">Note</w:t>
            </w:r>
          </w:p>
        </w:tc>
      </w:tr>
      <w:tr>
        <w:tc>
          <w:tcPr/>
          <w:p>
            <w:pPr>
              <w:pStyle w:val="Compact"/>
              <w:jc w:val="left"/>
            </w:pPr>
            <w:r>
              <w:t xml:space="preserve">H1, savings rate</w:t>
            </w:r>
          </w:p>
        </w:tc>
        <w:tc>
          <w:tcPr/>
          <w:p>
            <w:pPr>
              <w:pStyle w:val="Compact"/>
              <w:jc w:val="left"/>
            </w:pPr>
            <w:r>
              <w:t xml:space="preserve">SD 4.9 pp (PY2016-PY2018)</w:t>
            </w:r>
          </w:p>
        </w:tc>
        <w:tc>
          <w:tcPr/>
          <w:p>
            <w:pPr>
              <w:pStyle w:val="Compact"/>
              <w:jc w:val="right"/>
            </w:pPr>
            <w:r>
              <w:t xml:space="preserve">2.7 pp</w:t>
            </w:r>
          </w:p>
        </w:tc>
        <w:tc>
          <w:tcPr/>
          <w:p>
            <w:pPr>
              <w:pStyle w:val="Compact"/>
              <w:jc w:val="left"/>
            </w:pPr>
            <w:r>
              <w:t xml:space="preserve">simulated power 80.4%</w:t>
            </w:r>
          </w:p>
        </w:tc>
      </w:tr>
      <w:tr>
        <w:tc>
          <w:tcPr/>
          <w:p>
            <w:pPr>
              <w:pStyle w:val="Compact"/>
              <w:jc w:val="left"/>
            </w:pPr>
            <w:r>
              <w:t xml:space="preserve">H2b, regional pull</w:t>
            </w:r>
          </w:p>
        </w:tc>
        <w:tc>
          <w:tcPr/>
          <w:p>
            <w:pPr>
              <w:pStyle w:val="Compact"/>
              <w:jc w:val="left"/>
            </w:pPr>
            <w:r>
              <w:t xml:space="preserve">SD 4.6 pp (stayers)</w:t>
            </w:r>
          </w:p>
        </w:tc>
        <w:tc>
          <w:tcPr/>
          <w:p>
            <w:pPr>
              <w:pStyle w:val="Compact"/>
              <w:jc w:val="right"/>
            </w:pPr>
            <w:r>
              <w:t xml:space="preserve">2.5 pp</w:t>
            </w:r>
          </w:p>
        </w:tc>
        <w:tc>
          <w:tcPr/>
          <w:p>
            <w:pPr>
              <w:pStyle w:val="Compact"/>
              <w:jc w:val="left"/>
            </w:pPr>
            <w:r>
              <w:t xml:space="preserve">0.55 SD</w:t>
            </w:r>
          </w:p>
        </w:tc>
      </w:tr>
      <w:tr>
        <w:tc>
          <w:tcPr/>
          <w:p>
            <w:pPr>
              <w:pStyle w:val="Compact"/>
              <w:jc w:val="left"/>
            </w:pPr>
            <w:r>
              <w:t xml:space="preserve">H2a, own-spending component</w:t>
            </w:r>
          </w:p>
        </w:tc>
        <w:tc>
          <w:tcPr/>
          <w:p>
            <w:pPr>
              <w:pStyle w:val="Compact"/>
              <w:jc w:val="left"/>
            </w:pPr>
            <w:r>
              <w:t xml:space="preserve">SD 3.3 pp (stayers)</w:t>
            </w:r>
          </w:p>
        </w:tc>
        <w:tc>
          <w:tcPr/>
          <w:p>
            <w:pPr>
              <w:pStyle w:val="Compact"/>
              <w:jc w:val="right"/>
            </w:pPr>
            <w:r>
              <w:t xml:space="preserve">1.8 pp</w:t>
            </w:r>
          </w:p>
        </w:tc>
        <w:tc>
          <w:tcPr/>
          <w:p>
            <w:pPr>
              <w:pStyle w:val="Compact"/>
              <w:jc w:val="left"/>
            </w:pPr>
            <w:r>
              <w:t xml:space="preserve">0.55 SD</w:t>
            </w:r>
          </w:p>
        </w:tc>
      </w:tr>
      <w:tr>
        <w:tc>
          <w:tcPr/>
          <w:p>
            <w:pPr>
              <w:pStyle w:val="Compact"/>
              <w:jc w:val="left"/>
            </w:pPr>
            <w:r>
              <w:t xml:space="preserve">H4, spending change</w:t>
            </w:r>
          </w:p>
        </w:tc>
        <w:tc>
          <w:tcPr/>
          <w:p>
            <w:pPr>
              <w:pStyle w:val="Compact"/>
              <w:jc w:val="left"/>
            </w:pPr>
            <w:r>
              <w:t xml:space="preserve">SD 6.9 log points (pre-period change)</w:t>
            </w:r>
          </w:p>
        </w:tc>
        <w:tc>
          <w:tcPr/>
          <w:p>
            <w:pPr>
              <w:pStyle w:val="Compact"/>
              <w:jc w:val="right"/>
            </w:pPr>
            <w:r>
              <w:t xml:space="preserve">3.8 log points</w:t>
            </w:r>
          </w:p>
        </w:tc>
        <w:tc>
          <w:tcPr/>
          <w:p>
            <w:pPr>
              <w:pStyle w:val="Compact"/>
              <w:jc w:val="left"/>
            </w:pPr>
            <w:r>
              <w:t xml:space="preserve">+3.9% or −3.7%</w:t>
            </w:r>
          </w:p>
        </w:tc>
      </w:tr>
      <w:tr>
        <w:tc>
          <w:tcPr/>
          <w:p>
            <w:pPr>
              <w:pStyle w:val="Compact"/>
              <w:jc w:val="left"/>
            </w:pPr>
            <w:r>
              <w:t xml:space="preserve">H3, regional pull</w:t>
            </w:r>
          </w:p>
        </w:tc>
        <w:tc>
          <w:tcPr/>
          <w:p>
            <w:pPr>
              <w:pStyle w:val="Compact"/>
              <w:jc w:val="left"/>
            </w:pPr>
            <w:r>
              <w:t xml:space="preserve">true log-odds difference 0.5 per 2 SD</w:t>
            </w:r>
          </w:p>
        </w:tc>
        <w:tc>
          <w:tcPr/>
          <w:p>
            <w:pPr>
              <w:pStyle w:val="Compact"/>
              <w:jc w:val="right"/>
            </w:pPr>
            <w:r>
              <w:t xml:space="preserve">detected in 17%</w:t>
            </w:r>
          </w:p>
        </w:tc>
        <w:tc>
          <w:tcPr/>
          <w:p>
            <w:pPr>
              <w:pStyle w:val="Compact"/>
              <w:jc w:val="left"/>
            </w:pPr>
            <w:r>
              <w:t xml:space="preserve">of 500 simulated datasets</w:t>
            </w:r>
          </w:p>
        </w:tc>
      </w:tr>
      <w:tr>
        <w:tc>
          <w:tcPr/>
          <w:p>
            <w:pPr>
              <w:pStyle w:val="Compact"/>
              <w:jc w:val="left"/>
            </w:pPr>
            <w:r>
              <w:t xml:space="preserve">H3, own-spending component</w:t>
            </w:r>
          </w:p>
        </w:tc>
        <w:tc>
          <w:tcPr/>
          <w:p>
            <w:pPr>
              <w:pStyle w:val="Compact"/>
              <w:jc w:val="left"/>
            </w:pPr>
            <w:r>
              <w:t xml:space="preserve">true log-odds difference 0.5 per 2 SD</w:t>
            </w:r>
          </w:p>
        </w:tc>
        <w:tc>
          <w:tcPr/>
          <w:p>
            <w:pPr>
              <w:pStyle w:val="Compact"/>
              <w:jc w:val="right"/>
            </w:pPr>
            <w:r>
              <w:t xml:space="preserve">detected in 0%</w:t>
            </w:r>
          </w:p>
        </w:tc>
        <w:tc>
          <w:tcPr/>
          <w:p>
            <w:pPr>
              <w:pStyle w:val="Compact"/>
              <w:jc w:val="left"/>
            </w:pPr>
            <w:r>
              <w:t xml:space="preserve">of 500 simulated datasets</w:t>
            </w:r>
          </w:p>
        </w:tc>
      </w:tr>
      <w:tr>
        <w:tc>
          <w:tcPr/>
          <w:p>
            <w:pPr>
              <w:pStyle w:val="Compact"/>
              <w:jc w:val="left"/>
            </w:pPr>
            <w:r>
              <w:t xml:space="preserve">H3, higher BASIC level</w:t>
            </w:r>
          </w:p>
        </w:tc>
        <w:tc>
          <w:tcPr/>
          <w:p>
            <w:pPr>
              <w:pStyle w:val="Compact"/>
              <w:jc w:val="left"/>
            </w:pPr>
            <w:r>
              <w:t xml:space="preserve">true log-odds difference 0.5 per 2 SD</w:t>
            </w:r>
          </w:p>
        </w:tc>
        <w:tc>
          <w:tcPr/>
          <w:p>
            <w:pPr>
              <w:pStyle w:val="Compact"/>
              <w:jc w:val="right"/>
            </w:pPr>
            <w:r>
              <w:t xml:space="preserve">detected in 14%</w:t>
            </w:r>
          </w:p>
        </w:tc>
        <w:tc>
          <w:tcPr/>
          <w:p>
            <w:pPr>
              <w:pStyle w:val="Compact"/>
              <w:jc w:val="left"/>
            </w:pPr>
            <w:r>
              <w:t xml:space="preserve">of 500 simulated datasets</w:t>
            </w:r>
          </w:p>
        </w:tc>
      </w:tr>
    </w:tbl>
    <w:p>
      <w:pPr>
        <w:pStyle w:val="BodyText"/>
      </w:pPr>
      <w:r>
        <w:t xml:space="preserve">Minimum detectable effects at 80% power, two-sided α = .05, for 29 early renewers vs 277 stayers, computed after registration and committed before any confirmatory estimate; 1 log point = 0.01 in log spending. For H3, power was simulated only at a log-odds difference of 0.5; a predictor counts as detected when its 95% credible interval excludes zero.</w:t>
      </w:r>
    </w:p>
    <w:p>
      <w:pPr>
        <w:pStyle w:val="TableCaption"/>
      </w:pPr>
      <w:r>
        <w:t xml:space="preserve">eTable 3. Robustness of the group comparisons</w:t>
      </w:r>
    </w:p>
    <w:tbl>
      <w:tblPr>
        <w:tblStyle w:val="Table"/>
        <w:tblW w:type="pct" w:w="5000"/>
        <w:tblLayout w:type="fixed"/>
        <w:tblLook w:firstRow="1" w:lastRow="0" w:firstColumn="0" w:lastColumn="0" w:noHBand="0" w:noVBand="0" w:val="0020"/>
        <w:tblCaption w:val="eTable 3. Robustness of the group comparisons"/>
      </w:tblPr>
      <w:tblGrid>
        <w:gridCol w:w="5203"/>
        <w:gridCol w:w="1560"/>
        <w:gridCol w:w="1687"/>
        <w:gridCol w:w="910"/>
      </w:tblGrid>
      <w:tr>
        <w:trPr>
          <w:tblHeader w:val="on"/>
        </w:trPr>
        <w:tc>
          <w:tcPr/>
          <w:p>
            <w:pPr>
              <w:pStyle w:val="Compact"/>
              <w:jc w:val="left"/>
            </w:pPr>
            <w:r>
              <w:t xml:space="preserve">Analysis</w:t>
            </w:r>
          </w:p>
        </w:tc>
        <w:tc>
          <w:tcPr/>
          <w:p>
            <w:pPr>
              <w:pStyle w:val="Compact"/>
              <w:jc w:val="right"/>
            </w:pPr>
            <w:r>
              <w:t xml:space="preserve">Difference</w:t>
            </w:r>
          </w:p>
        </w:tc>
        <w:tc>
          <w:tcPr/>
          <w:p>
            <w:pPr>
              <w:pStyle w:val="Compact"/>
              <w:jc w:val="right"/>
            </w:pPr>
            <w:r>
              <w:t xml:space="preserve">95% interval</w:t>
            </w:r>
          </w:p>
        </w:tc>
        <w:tc>
          <w:tcPr/>
          <w:p>
            <w:pPr>
              <w:pStyle w:val="Compact"/>
              <w:jc w:val="right"/>
            </w:pPr>
            <w:r>
              <w:rPr>
                <w:i/>
                <w:iCs/>
              </w:rPr>
              <w:t xml:space="preserve">P</w:t>
            </w:r>
          </w:p>
        </w:tc>
      </w:tr>
      <w:tr>
        <w:tc>
          <w:tcPr/>
          <w:p>
            <w:pPr>
              <w:pStyle w:val="Compact"/>
              <w:jc w:val="left"/>
            </w:pPr>
            <w:r>
              <w:rPr>
                <w:b/>
                <w:bCs/>
              </w:rPr>
              <w:t xml:space="preserve">H2b regional pull</w:t>
            </w:r>
          </w:p>
        </w:tc>
        <w:tc>
          <w:tcPr/>
          <w:p>
            <w:pPr>
              <w:pStyle w:val="Compact"/>
            </w:pPr>
          </w:p>
        </w:tc>
        <w:tc>
          <w:tcPr/>
          <w:p>
            <w:pPr>
              <w:pStyle w:val="Compact"/>
            </w:pPr>
          </w:p>
        </w:tc>
        <w:tc>
          <w:tcPr/>
          <w:p>
            <w:pPr>
              <w:pStyle w:val="Compact"/>
            </w:pPr>
          </w:p>
        </w:tc>
      </w:tr>
      <w:tr>
        <w:tc>
          <w:tcPr/>
          <w:p>
            <w:pPr>
              <w:pStyle w:val="Compact"/>
              <w:jc w:val="left"/>
            </w:pPr>
            <w:r>
              <w:t xml:space="preserve">    Confirmatory</w:t>
            </w:r>
          </w:p>
        </w:tc>
        <w:tc>
          <w:tcPr/>
          <w:p>
            <w:pPr>
              <w:pStyle w:val="Compact"/>
              <w:jc w:val="right"/>
            </w:pPr>
            <w:r>
              <w:t xml:space="preserve">+3.4</w:t>
            </w:r>
          </w:p>
        </w:tc>
        <w:tc>
          <w:tcPr/>
          <w:p>
            <w:pPr>
              <w:pStyle w:val="Compact"/>
              <w:jc w:val="right"/>
            </w:pPr>
            <w:r>
              <w:t xml:space="preserve">1.7 to 5.4</w:t>
            </w:r>
          </w:p>
        </w:tc>
        <w:tc>
          <w:tcPr/>
          <w:p>
            <w:pPr>
              <w:pStyle w:val="Compact"/>
              <w:jc w:val="right"/>
            </w:pPr>
            <w:r>
              <w:t xml:space="preserve">&lt;.001</w:t>
            </w:r>
          </w:p>
        </w:tc>
      </w:tr>
      <w:tr>
        <w:tc>
          <w:tcPr/>
          <w:p>
            <w:pPr>
              <w:pStyle w:val="Compact"/>
              <w:jc w:val="left"/>
            </w:pPr>
            <w:r>
              <w:t xml:space="preserve">    Regression, cohort only (5.3)</w:t>
            </w:r>
          </w:p>
        </w:tc>
        <w:tc>
          <w:tcPr/>
          <w:p>
            <w:pPr>
              <w:pStyle w:val="Compact"/>
              <w:jc w:val="right"/>
            </w:pPr>
            <w:r>
              <w:t xml:space="preserve">+2.1</w:t>
            </w:r>
          </w:p>
        </w:tc>
        <w:tc>
          <w:tcPr/>
          <w:p>
            <w:pPr>
              <w:pStyle w:val="Compact"/>
              <w:jc w:val="right"/>
            </w:pPr>
            <w:r>
              <w:t xml:space="preserve">0.5 to 3.8</w:t>
            </w:r>
          </w:p>
        </w:tc>
        <w:tc>
          <w:tcPr/>
          <w:p>
            <w:pPr>
              <w:pStyle w:val="Compact"/>
            </w:pPr>
          </w:p>
        </w:tc>
      </w:tr>
      <w:tr>
        <w:tc>
          <w:tcPr/>
          <w:p>
            <w:pPr>
              <w:pStyle w:val="Compact"/>
              <w:jc w:val="left"/>
            </w:pPr>
            <w:r>
              <w:t xml:space="preserve">    Regression + track, level and size (item 1)</w:t>
            </w:r>
          </w:p>
        </w:tc>
        <w:tc>
          <w:tcPr/>
          <w:p>
            <w:pPr>
              <w:pStyle w:val="Compact"/>
              <w:jc w:val="right"/>
            </w:pPr>
            <w:r>
              <w:t xml:space="preserve">+2.2</w:t>
            </w:r>
          </w:p>
        </w:tc>
        <w:tc>
          <w:tcPr/>
          <w:p>
            <w:pPr>
              <w:pStyle w:val="Compact"/>
              <w:jc w:val="right"/>
            </w:pPr>
            <w:r>
              <w:t xml:space="preserve">0.7 to 3.8</w:t>
            </w:r>
          </w:p>
        </w:tc>
        <w:tc>
          <w:tcPr/>
          <w:p>
            <w:pPr>
              <w:pStyle w:val="Compact"/>
            </w:pPr>
          </w:p>
        </w:tc>
      </w:tr>
      <w:tr>
        <w:tc>
          <w:tcPr/>
          <w:p>
            <w:pPr>
              <w:pStyle w:val="Compact"/>
              <w:jc w:val="left"/>
            </w:pPr>
            <w:r>
              <w:t xml:space="preserve">    Difference in medians (item 2)</w:t>
            </w:r>
          </w:p>
        </w:tc>
        <w:tc>
          <w:tcPr/>
          <w:p>
            <w:pPr>
              <w:pStyle w:val="Compact"/>
              <w:jc w:val="right"/>
            </w:pPr>
            <w:r>
              <w:t xml:space="preserve">+2.8</w:t>
            </w:r>
          </w:p>
        </w:tc>
        <w:tc>
          <w:tcPr/>
          <w:p>
            <w:pPr>
              <w:pStyle w:val="Compact"/>
              <w:jc w:val="right"/>
            </w:pPr>
            <w:r>
              <w:t xml:space="preserve">0.1 to 5.2</w:t>
            </w:r>
          </w:p>
        </w:tc>
        <w:tc>
          <w:tcPr/>
          <w:p>
            <w:pPr>
              <w:pStyle w:val="Compact"/>
              <w:jc w:val="right"/>
            </w:pPr>
            <w:r>
              <w:t xml:space="preserve">&lt;.001</w:t>
            </w:r>
          </w:p>
        </w:tc>
      </w:tr>
      <w:tr>
        <w:tc>
          <w:tcPr/>
          <w:p>
            <w:pPr>
              <w:pStyle w:val="Compact"/>
              <w:jc w:val="left"/>
            </w:pPr>
            <w:r>
              <w:t xml:space="preserve">    2020-01-01 cohort only (item 3)</w:t>
            </w:r>
          </w:p>
        </w:tc>
        <w:tc>
          <w:tcPr/>
          <w:p>
            <w:pPr>
              <w:pStyle w:val="Compact"/>
              <w:jc w:val="right"/>
            </w:pPr>
            <w:r>
              <w:t xml:space="preserve">+3.7</w:t>
            </w:r>
          </w:p>
        </w:tc>
        <w:tc>
          <w:tcPr/>
          <w:p>
            <w:pPr>
              <w:pStyle w:val="Compact"/>
              <w:jc w:val="right"/>
            </w:pPr>
            <w:r>
              <w:t xml:space="preserve">1.8 to 5.5</w:t>
            </w:r>
          </w:p>
        </w:tc>
        <w:tc>
          <w:tcPr/>
          <w:p>
            <w:pPr>
              <w:pStyle w:val="Compact"/>
              <w:jc w:val="right"/>
            </w:pPr>
            <w:r>
              <w:t xml:space="preserve">.001</w:t>
            </w:r>
          </w:p>
        </w:tc>
      </w:tr>
      <w:tr>
        <w:tc>
          <w:tcPr/>
          <w:p>
            <w:pPr>
              <w:pStyle w:val="Compact"/>
              <w:jc w:val="left"/>
            </w:pPr>
            <w:r>
              <w:t xml:space="preserve">    Unadjusted county spending (item 9)</w:t>
            </w:r>
          </w:p>
        </w:tc>
        <w:tc>
          <w:tcPr/>
          <w:p>
            <w:pPr>
              <w:pStyle w:val="Compact"/>
              <w:jc w:val="right"/>
            </w:pPr>
            <w:r>
              <w:t xml:space="preserve">+6.9</w:t>
            </w:r>
          </w:p>
        </w:tc>
        <w:tc>
          <w:tcPr/>
          <w:p>
            <w:pPr>
              <w:pStyle w:val="Compact"/>
              <w:jc w:val="right"/>
            </w:pPr>
            <w:r>
              <w:t xml:space="preserve">2.4 to 12.4</w:t>
            </w:r>
          </w:p>
        </w:tc>
        <w:tc>
          <w:tcPr/>
          <w:p>
            <w:pPr>
              <w:pStyle w:val="Compact"/>
              <w:jc w:val="right"/>
            </w:pPr>
            <w:r>
              <w:t xml:space="preserve">.002</w:t>
            </w:r>
          </w:p>
        </w:tc>
      </w:tr>
      <w:tr>
        <w:tc>
          <w:tcPr/>
          <w:p>
            <w:pPr>
              <w:pStyle w:val="Compact"/>
              <w:jc w:val="left"/>
            </w:pPr>
            <w:r>
              <w:rPr>
                <w:b/>
                <w:bCs/>
              </w:rPr>
              <w:t xml:space="preserve">H2a own-spending component</w:t>
            </w:r>
          </w:p>
        </w:tc>
        <w:tc>
          <w:tcPr/>
          <w:p>
            <w:pPr>
              <w:pStyle w:val="Compact"/>
            </w:pPr>
          </w:p>
        </w:tc>
        <w:tc>
          <w:tcPr/>
          <w:p>
            <w:pPr>
              <w:pStyle w:val="Compact"/>
            </w:pPr>
          </w:p>
        </w:tc>
        <w:tc>
          <w:tcPr/>
          <w:p>
            <w:pPr>
              <w:pStyle w:val="Compact"/>
            </w:pPr>
          </w:p>
        </w:tc>
      </w:tr>
      <w:tr>
        <w:tc>
          <w:tcPr/>
          <w:p>
            <w:pPr>
              <w:pStyle w:val="Compact"/>
              <w:jc w:val="left"/>
            </w:pPr>
            <w:r>
              <w:t xml:space="preserve">    Confirmatory</w:t>
            </w:r>
          </w:p>
        </w:tc>
        <w:tc>
          <w:tcPr/>
          <w:p>
            <w:pPr>
              <w:pStyle w:val="Compact"/>
              <w:jc w:val="right"/>
            </w:pPr>
            <w:r>
              <w:t xml:space="preserve">−2.1</w:t>
            </w:r>
          </w:p>
        </w:tc>
        <w:tc>
          <w:tcPr/>
          <w:p>
            <w:pPr>
              <w:pStyle w:val="Compact"/>
              <w:jc w:val="right"/>
            </w:pPr>
            <w:r>
              <w:t xml:space="preserve">−3.8 to −0.5</w:t>
            </w:r>
          </w:p>
        </w:tc>
        <w:tc>
          <w:tcPr/>
          <w:p>
            <w:pPr>
              <w:pStyle w:val="Compact"/>
              <w:jc w:val="right"/>
            </w:pPr>
            <w:r>
              <w:t xml:space="preserve">.003</w:t>
            </w:r>
          </w:p>
        </w:tc>
      </w:tr>
      <w:tr>
        <w:tc>
          <w:tcPr/>
          <w:p>
            <w:pPr>
              <w:pStyle w:val="Compact"/>
              <w:jc w:val="left"/>
            </w:pPr>
            <w:r>
              <w:t xml:space="preserve">    Regression, cohort only (5.3)</w:t>
            </w:r>
          </w:p>
        </w:tc>
        <w:tc>
          <w:tcPr/>
          <w:p>
            <w:pPr>
              <w:pStyle w:val="Compact"/>
              <w:jc w:val="right"/>
            </w:pPr>
            <w:r>
              <w:t xml:space="preserve">−1.5</w:t>
            </w:r>
          </w:p>
        </w:tc>
        <w:tc>
          <w:tcPr/>
          <w:p>
            <w:pPr>
              <w:pStyle w:val="Compact"/>
              <w:jc w:val="right"/>
            </w:pPr>
            <w:r>
              <w:t xml:space="preserve">−2.8 to −0.3</w:t>
            </w:r>
          </w:p>
        </w:tc>
        <w:tc>
          <w:tcPr/>
          <w:p>
            <w:pPr>
              <w:pStyle w:val="Compact"/>
            </w:pPr>
          </w:p>
        </w:tc>
      </w:tr>
      <w:tr>
        <w:tc>
          <w:tcPr/>
          <w:p>
            <w:pPr>
              <w:pStyle w:val="Compact"/>
              <w:jc w:val="left"/>
            </w:pPr>
            <w:r>
              <w:t xml:space="preserve">    Regression + track, level and size (item 1)</w:t>
            </w:r>
          </w:p>
        </w:tc>
        <w:tc>
          <w:tcPr/>
          <w:p>
            <w:pPr>
              <w:pStyle w:val="Compact"/>
              <w:jc w:val="right"/>
            </w:pPr>
            <w:r>
              <w:t xml:space="preserve">−1.3</w:t>
            </w:r>
          </w:p>
        </w:tc>
        <w:tc>
          <w:tcPr/>
          <w:p>
            <w:pPr>
              <w:pStyle w:val="Compact"/>
              <w:jc w:val="right"/>
            </w:pPr>
            <w:r>
              <w:t xml:space="preserve">−2.6 to 0.0</w:t>
            </w:r>
          </w:p>
        </w:tc>
        <w:tc>
          <w:tcPr/>
          <w:p>
            <w:pPr>
              <w:pStyle w:val="Compact"/>
            </w:pPr>
          </w:p>
        </w:tc>
      </w:tr>
      <w:tr>
        <w:tc>
          <w:tcPr/>
          <w:p>
            <w:pPr>
              <w:pStyle w:val="Compact"/>
              <w:jc w:val="left"/>
            </w:pPr>
            <w:r>
              <w:t xml:space="preserve">    Difference in medians (item 2)</w:t>
            </w:r>
            <w:r>
              <w:rPr>
                <w:vertAlign w:val="superscript"/>
              </w:rPr>
              <w:t xml:space="preserve">a</w:t>
            </w:r>
          </w:p>
        </w:tc>
        <w:tc>
          <w:tcPr/>
          <w:p>
            <w:pPr>
              <w:pStyle w:val="Compact"/>
              <w:jc w:val="right"/>
            </w:pPr>
            <w:r>
              <w:t xml:space="preserve">−1.4</w:t>
            </w:r>
          </w:p>
        </w:tc>
        <w:tc>
          <w:tcPr/>
          <w:p>
            <w:pPr>
              <w:pStyle w:val="Compact"/>
              <w:jc w:val="right"/>
            </w:pPr>
            <w:r>
              <w:t xml:space="preserve">−3.2 to 0.0</w:t>
            </w:r>
          </w:p>
        </w:tc>
        <w:tc>
          <w:tcPr/>
          <w:p>
            <w:pPr>
              <w:pStyle w:val="Compact"/>
              <w:jc w:val="right"/>
            </w:pPr>
            <w:r>
              <w:t xml:space="preserve">.09</w:t>
            </w:r>
          </w:p>
        </w:tc>
      </w:tr>
      <w:tr>
        <w:tc>
          <w:tcPr/>
          <w:p>
            <w:pPr>
              <w:pStyle w:val="Compact"/>
              <w:jc w:val="left"/>
            </w:pPr>
            <w:r>
              <w:t xml:space="preserve">    2020-01-01 cohort only (item 3)</w:t>
            </w:r>
            <w:r>
              <w:rPr>
                <w:vertAlign w:val="superscript"/>
              </w:rPr>
              <w:t xml:space="preserve">a</w:t>
            </w:r>
          </w:p>
        </w:tc>
        <w:tc>
          <w:tcPr/>
          <w:p>
            <w:pPr>
              <w:pStyle w:val="Compact"/>
              <w:jc w:val="right"/>
            </w:pPr>
            <w:r>
              <w:t xml:space="preserve">−1.8</w:t>
            </w:r>
          </w:p>
        </w:tc>
        <w:tc>
          <w:tcPr/>
          <w:p>
            <w:pPr>
              <w:pStyle w:val="Compact"/>
              <w:jc w:val="right"/>
            </w:pPr>
            <w:r>
              <w:t xml:space="preserve">−4.2 to 0.5</w:t>
            </w:r>
          </w:p>
        </w:tc>
        <w:tc>
          <w:tcPr/>
          <w:p>
            <w:pPr>
              <w:pStyle w:val="Compact"/>
              <w:jc w:val="right"/>
            </w:pPr>
            <w:r>
              <w:t xml:space="preserve">.04</w:t>
            </w:r>
          </w:p>
        </w:tc>
      </w:tr>
      <w:tr>
        <w:tc>
          <w:tcPr/>
          <w:p>
            <w:pPr>
              <w:pStyle w:val="Compact"/>
              <w:jc w:val="left"/>
            </w:pPr>
            <w:r>
              <w:t xml:space="preserve">    BY2-BY3 only in step 1 (item 6)</w:t>
            </w:r>
          </w:p>
        </w:tc>
        <w:tc>
          <w:tcPr/>
          <w:p>
            <w:pPr>
              <w:pStyle w:val="Compact"/>
              <w:jc w:val="right"/>
            </w:pPr>
            <w:r>
              <w:t xml:space="preserve">−1.9</w:t>
            </w:r>
          </w:p>
        </w:tc>
        <w:tc>
          <w:tcPr/>
          <w:p>
            <w:pPr>
              <w:pStyle w:val="Compact"/>
              <w:jc w:val="right"/>
            </w:pPr>
            <w:r>
              <w:t xml:space="preserve">−3.7 to −0.2</w:t>
            </w:r>
          </w:p>
        </w:tc>
        <w:tc>
          <w:tcPr/>
          <w:p>
            <w:pPr>
              <w:pStyle w:val="Compact"/>
              <w:jc w:val="right"/>
            </w:pPr>
            <w:r>
              <w:t xml:space="preserve">.01</w:t>
            </w:r>
          </w:p>
        </w:tc>
      </w:tr>
      <w:tr>
        <w:tc>
          <w:tcPr/>
          <w:p>
            <w:pPr>
              <w:pStyle w:val="Compact"/>
              <w:jc w:val="left"/>
            </w:pPr>
            <w:r>
              <w:t xml:space="preserve">    Complete cases (item 8)</w:t>
            </w:r>
          </w:p>
        </w:tc>
        <w:tc>
          <w:tcPr/>
          <w:p>
            <w:pPr>
              <w:pStyle w:val="Compact"/>
              <w:jc w:val="right"/>
            </w:pPr>
            <w:r>
              <w:t xml:space="preserve">−2.1</w:t>
            </w:r>
          </w:p>
        </w:tc>
        <w:tc>
          <w:tcPr/>
          <w:p>
            <w:pPr>
              <w:pStyle w:val="Compact"/>
              <w:jc w:val="right"/>
            </w:pPr>
            <w:r>
              <w:t xml:space="preserve">−3.9 to −0.5</w:t>
            </w:r>
          </w:p>
        </w:tc>
        <w:tc>
          <w:tcPr/>
          <w:p>
            <w:pPr>
              <w:pStyle w:val="Compact"/>
              <w:jc w:val="right"/>
            </w:pPr>
            <w:r>
              <w:t xml:space="preserve">.005</w:t>
            </w:r>
          </w:p>
        </w:tc>
      </w:tr>
      <w:tr>
        <w:tc>
          <w:tcPr/>
          <w:p>
            <w:pPr>
              <w:pStyle w:val="Compact"/>
              <w:jc w:val="left"/>
            </w:pPr>
            <w:r>
              <w:rPr>
                <w:b/>
                <w:bCs/>
              </w:rPr>
              <w:t xml:space="preserve">H1 savings rate, PY2020</w:t>
            </w:r>
          </w:p>
        </w:tc>
        <w:tc>
          <w:tcPr/>
          <w:p>
            <w:pPr>
              <w:pStyle w:val="Compact"/>
            </w:pPr>
          </w:p>
        </w:tc>
        <w:tc>
          <w:tcPr/>
          <w:p>
            <w:pPr>
              <w:pStyle w:val="Compact"/>
            </w:pPr>
          </w:p>
        </w:tc>
        <w:tc>
          <w:tcPr/>
          <w:p>
            <w:pPr>
              <w:pStyle w:val="Compact"/>
            </w:pPr>
          </w:p>
        </w:tc>
      </w:tr>
      <w:tr>
        <w:tc>
          <w:tcPr/>
          <w:p>
            <w:pPr>
              <w:pStyle w:val="Compact"/>
              <w:jc w:val="left"/>
            </w:pPr>
            <w:r>
              <w:t xml:space="preserve">    Confirmatory</w:t>
            </w:r>
          </w:p>
        </w:tc>
        <w:tc>
          <w:tcPr/>
          <w:p>
            <w:pPr>
              <w:pStyle w:val="Compact"/>
              <w:jc w:val="right"/>
            </w:pPr>
            <w:r>
              <w:t xml:space="preserve">+1.9</w:t>
            </w:r>
          </w:p>
        </w:tc>
        <w:tc>
          <w:tcPr/>
          <w:p>
            <w:pPr>
              <w:pStyle w:val="Compact"/>
              <w:jc w:val="right"/>
            </w:pPr>
            <w:r>
              <w:t xml:space="preserve">0.7 to 3.3</w:t>
            </w:r>
          </w:p>
        </w:tc>
        <w:tc>
          <w:tcPr/>
          <w:p>
            <w:pPr>
              <w:pStyle w:val="Compact"/>
              <w:jc w:val="right"/>
            </w:pPr>
            <w:r>
              <w:t xml:space="preserve">.01</w:t>
            </w:r>
          </w:p>
        </w:tc>
      </w:tr>
      <w:tr>
        <w:tc>
          <w:tcPr/>
          <w:p>
            <w:pPr>
              <w:pStyle w:val="Compact"/>
              <w:jc w:val="left"/>
            </w:pPr>
            <w:r>
              <w:t xml:space="preserve">    Regression, cohort only (5.3)</w:t>
            </w:r>
          </w:p>
        </w:tc>
        <w:tc>
          <w:tcPr/>
          <w:p>
            <w:pPr>
              <w:pStyle w:val="Compact"/>
              <w:jc w:val="right"/>
            </w:pPr>
            <w:r>
              <w:t xml:space="preserve">+1.5</w:t>
            </w:r>
          </w:p>
        </w:tc>
        <w:tc>
          <w:tcPr/>
          <w:p>
            <w:pPr>
              <w:pStyle w:val="Compact"/>
              <w:jc w:val="right"/>
            </w:pPr>
            <w:r>
              <w:t xml:space="preserve">0.2 to 2.9</w:t>
            </w:r>
          </w:p>
        </w:tc>
        <w:tc>
          <w:tcPr/>
          <w:p>
            <w:pPr>
              <w:pStyle w:val="Compact"/>
            </w:pPr>
          </w:p>
        </w:tc>
      </w:tr>
      <w:tr>
        <w:tc>
          <w:tcPr/>
          <w:p>
            <w:pPr>
              <w:pStyle w:val="Compact"/>
              <w:jc w:val="left"/>
            </w:pPr>
            <w:r>
              <w:t xml:space="preserve">    Regression + track, level and size (item 1)</w:t>
            </w:r>
          </w:p>
        </w:tc>
        <w:tc>
          <w:tcPr/>
          <w:p>
            <w:pPr>
              <w:pStyle w:val="Compact"/>
              <w:jc w:val="right"/>
            </w:pPr>
            <w:r>
              <w:t xml:space="preserve">+1.2</w:t>
            </w:r>
          </w:p>
        </w:tc>
        <w:tc>
          <w:tcPr/>
          <w:p>
            <w:pPr>
              <w:pStyle w:val="Compact"/>
              <w:jc w:val="right"/>
            </w:pPr>
            <w:r>
              <w:t xml:space="preserve">−0.1 to 2.6</w:t>
            </w:r>
          </w:p>
        </w:tc>
        <w:tc>
          <w:tcPr/>
          <w:p>
            <w:pPr>
              <w:pStyle w:val="Compact"/>
            </w:pPr>
          </w:p>
        </w:tc>
      </w:tr>
      <w:tr>
        <w:tc>
          <w:tcPr/>
          <w:p>
            <w:pPr>
              <w:pStyle w:val="Compact"/>
              <w:jc w:val="left"/>
            </w:pPr>
            <w:r>
              <w:t xml:space="preserve">    Difference in medians (item 2)</w:t>
            </w:r>
          </w:p>
        </w:tc>
        <w:tc>
          <w:tcPr/>
          <w:p>
            <w:pPr>
              <w:pStyle w:val="Compact"/>
              <w:jc w:val="right"/>
            </w:pPr>
            <w:r>
              <w:t xml:space="preserve">+1.4</w:t>
            </w:r>
          </w:p>
        </w:tc>
        <w:tc>
          <w:tcPr/>
          <w:p>
            <w:pPr>
              <w:pStyle w:val="Compact"/>
              <w:jc w:val="right"/>
            </w:pPr>
            <w:r>
              <w:t xml:space="preserve">−0.1 to 3.3</w:t>
            </w:r>
          </w:p>
        </w:tc>
        <w:tc>
          <w:tcPr/>
          <w:p>
            <w:pPr>
              <w:pStyle w:val="Compact"/>
              <w:jc w:val="right"/>
            </w:pPr>
            <w:r>
              <w:t xml:space="preserve">.06</w:t>
            </w:r>
          </w:p>
        </w:tc>
      </w:tr>
      <w:tr>
        <w:tc>
          <w:tcPr/>
          <w:p>
            <w:pPr>
              <w:pStyle w:val="Compact"/>
              <w:jc w:val="left"/>
            </w:pPr>
            <w:r>
              <w:t xml:space="preserve">    2020-01-01 cohort only (item 3)</w:t>
            </w:r>
          </w:p>
        </w:tc>
        <w:tc>
          <w:tcPr/>
          <w:p>
            <w:pPr>
              <w:pStyle w:val="Compact"/>
              <w:jc w:val="right"/>
            </w:pPr>
            <w:r>
              <w:t xml:space="preserve">+1.8</w:t>
            </w:r>
          </w:p>
        </w:tc>
        <w:tc>
          <w:tcPr/>
          <w:p>
            <w:pPr>
              <w:pStyle w:val="Compact"/>
              <w:jc w:val="right"/>
            </w:pPr>
            <w:r>
              <w:t xml:space="preserve">0.5 to 3.3</w:t>
            </w:r>
          </w:p>
        </w:tc>
        <w:tc>
          <w:tcPr/>
          <w:p>
            <w:pPr>
              <w:pStyle w:val="Compact"/>
              <w:jc w:val="right"/>
            </w:pPr>
            <w:r>
              <w:t xml:space="preserve">.03</w:t>
            </w:r>
          </w:p>
        </w:tc>
      </w:tr>
      <w:tr>
        <w:tc>
          <w:tcPr/>
          <w:p>
            <w:pPr>
              <w:pStyle w:val="Compact"/>
              <w:jc w:val="left"/>
            </w:pPr>
            <w:r>
              <w:rPr>
                <w:b/>
                <w:bCs/>
              </w:rPr>
              <w:t xml:space="preserve">Total expected gain</w:t>
            </w:r>
          </w:p>
        </w:tc>
        <w:tc>
          <w:tcPr/>
          <w:p>
            <w:pPr>
              <w:pStyle w:val="Compact"/>
            </w:pPr>
          </w:p>
        </w:tc>
        <w:tc>
          <w:tcPr/>
          <w:p>
            <w:pPr>
              <w:pStyle w:val="Compact"/>
            </w:pPr>
          </w:p>
        </w:tc>
        <w:tc>
          <w:tcPr/>
          <w:p>
            <w:pPr>
              <w:pStyle w:val="Compact"/>
            </w:pPr>
          </w:p>
        </w:tc>
      </w:tr>
      <w:tr>
        <w:tc>
          <w:tcPr/>
          <w:p>
            <w:pPr>
              <w:pStyle w:val="Compact"/>
              <w:jc w:val="left"/>
            </w:pPr>
            <w:r>
              <w:t xml:space="preserve">    Confirmatory</w:t>
            </w:r>
          </w:p>
        </w:tc>
        <w:tc>
          <w:tcPr/>
          <w:p>
            <w:pPr>
              <w:pStyle w:val="Compact"/>
              <w:jc w:val="right"/>
            </w:pPr>
            <w:r>
              <w:t xml:space="preserve">−0.5</w:t>
            </w:r>
          </w:p>
        </w:tc>
        <w:tc>
          <w:tcPr/>
          <w:p>
            <w:pPr>
              <w:pStyle w:val="Compact"/>
              <w:jc w:val="right"/>
            </w:pPr>
            <w:r>
              <w:t xml:space="preserve">−2.0 to 0.8</w:t>
            </w:r>
          </w:p>
        </w:tc>
        <w:tc>
          <w:tcPr/>
          <w:p>
            <w:pPr>
              <w:pStyle w:val="Compact"/>
              <w:jc w:val="right"/>
            </w:pPr>
            <w:r>
              <w:t xml:space="preserve">.33</w:t>
            </w:r>
          </w:p>
        </w:tc>
      </w:tr>
      <w:tr>
        <w:tc>
          <w:tcPr/>
          <w:p>
            <w:pPr>
              <w:pStyle w:val="Compact"/>
              <w:jc w:val="left"/>
            </w:pPr>
            <w:r>
              <w:t xml:space="preserve">    Complete cases (item 8)</w:t>
            </w:r>
          </w:p>
        </w:tc>
        <w:tc>
          <w:tcPr/>
          <w:p>
            <w:pPr>
              <w:pStyle w:val="Compact"/>
              <w:jc w:val="right"/>
            </w:pPr>
            <w:r>
              <w:t xml:space="preserve">−0.5</w:t>
            </w:r>
          </w:p>
        </w:tc>
        <w:tc>
          <w:tcPr/>
          <w:p>
            <w:pPr>
              <w:pStyle w:val="Compact"/>
              <w:jc w:val="right"/>
            </w:pPr>
            <w:r>
              <w:t xml:space="preserve">−2.0 to 0.8</w:t>
            </w:r>
          </w:p>
        </w:tc>
        <w:tc>
          <w:tcPr/>
          <w:p>
            <w:pPr>
              <w:pStyle w:val="Compact"/>
              <w:jc w:val="right"/>
            </w:pPr>
            <w:r>
              <w:t xml:space="preserve">.33</w:t>
            </w:r>
          </w:p>
        </w:tc>
      </w:tr>
      <w:tr>
        <w:tc>
          <w:tcPr/>
          <w:p>
            <w:pPr>
              <w:pStyle w:val="Compact"/>
              <w:jc w:val="left"/>
            </w:pPr>
            <w:r>
              <w:rPr>
                <w:b/>
                <w:bCs/>
              </w:rPr>
              <w:t xml:space="preserve">Regional component</w:t>
            </w:r>
          </w:p>
        </w:tc>
        <w:tc>
          <w:tcPr/>
          <w:p>
            <w:pPr>
              <w:pStyle w:val="Compact"/>
            </w:pPr>
          </w:p>
        </w:tc>
        <w:tc>
          <w:tcPr/>
          <w:p>
            <w:pPr>
              <w:pStyle w:val="Compact"/>
            </w:pPr>
          </w:p>
        </w:tc>
        <w:tc>
          <w:tcPr/>
          <w:p>
            <w:pPr>
              <w:pStyle w:val="Compact"/>
            </w:pPr>
          </w:p>
        </w:tc>
      </w:tr>
      <w:tr>
        <w:tc>
          <w:tcPr/>
          <w:p>
            <w:pPr>
              <w:pStyle w:val="Compact"/>
              <w:jc w:val="left"/>
            </w:pPr>
            <w:r>
              <w:t xml:space="preserve">    Confirmatory</w:t>
            </w:r>
          </w:p>
        </w:tc>
        <w:tc>
          <w:tcPr/>
          <w:p>
            <w:pPr>
              <w:pStyle w:val="Compact"/>
              <w:jc w:val="right"/>
            </w:pPr>
            <w:r>
              <w:t xml:space="preserve">+1.6</w:t>
            </w:r>
          </w:p>
        </w:tc>
        <w:tc>
          <w:tcPr/>
          <w:p>
            <w:pPr>
              <w:pStyle w:val="Compact"/>
              <w:jc w:val="right"/>
            </w:pPr>
            <w:r>
              <w:t xml:space="preserve">0.9 to 2.2</w:t>
            </w:r>
          </w:p>
        </w:tc>
        <w:tc>
          <w:tcPr/>
          <w:p>
            <w:pPr>
              <w:pStyle w:val="Compact"/>
              <w:jc w:val="right"/>
            </w:pPr>
            <w:r>
              <w:t xml:space="preserve">&lt;.001</w:t>
            </w:r>
          </w:p>
        </w:tc>
      </w:tr>
      <w:tr>
        <w:tc>
          <w:tcPr/>
          <w:p>
            <w:pPr>
              <w:pStyle w:val="Compact"/>
              <w:jc w:val="left"/>
            </w:pPr>
            <w:r>
              <w:t xml:space="preserve">    Complete cases (item 8)</w:t>
            </w:r>
          </w:p>
        </w:tc>
        <w:tc>
          <w:tcPr/>
          <w:p>
            <w:pPr>
              <w:pStyle w:val="Compact"/>
              <w:jc w:val="right"/>
            </w:pPr>
            <w:r>
              <w:t xml:space="preserve">+1.6</w:t>
            </w:r>
          </w:p>
        </w:tc>
        <w:tc>
          <w:tcPr/>
          <w:p>
            <w:pPr>
              <w:pStyle w:val="Compact"/>
              <w:jc w:val="right"/>
            </w:pPr>
            <w:r>
              <w:t xml:space="preserve">0.9 to 2.2</w:t>
            </w:r>
          </w:p>
        </w:tc>
        <w:tc>
          <w:tcPr/>
          <w:p>
            <w:pPr>
              <w:pStyle w:val="Compact"/>
              <w:jc w:val="right"/>
            </w:pPr>
            <w:r>
              <w:t xml:space="preserve">&lt;.001</w:t>
            </w:r>
          </w:p>
        </w:tc>
      </w:tr>
    </w:tbl>
    <w:p>
      <w:pPr>
        <w:pStyle w:val="BodyText"/>
      </w:pPr>
      <w:r>
        <w:t xml:space="preserve">Early renewers minus stayers, in the units of Table 2. Item numbers refer to the registered plan’s robustness list (section 5.5);</w:t>
      </w:r>
      <w:r>
        <w:t xml:space="preserve"> </w:t>
      </w:r>
      <w:r>
        <w:t xml:space="preserve">‘5.3’</w:t>
      </w:r>
      <w:r>
        <w:t xml:space="preserve"> </w:t>
      </w:r>
      <w:r>
        <w:t xml:space="preserve">is the registered covariate-adjusted estimate with cohort only. Regression rows are robust Bayesian linear regressions (Student-t errors on the standardized variable, Normal(0, 1) priors) of the variable on early renewal and cohort (5.3) or cohort, track, level and size (item 1), with 95% credible intervals and no P value; the robust likelihood downweights a few large values. Median rows give the bootstrap posterior mean of the difference in medians; their P value tests the observed difference.</w:t>
      </w:r>
      <w:r>
        <w:t xml:space="preserve"> </w:t>
      </w:r>
      <w:r>
        <w:rPr>
          <w:vertAlign w:val="superscript"/>
        </w:rPr>
        <w:t xml:space="preserve">a</w:t>
      </w:r>
      <w:r>
        <w:t xml:space="preserve">The P value and the 95% interval disagree about zero; the plan requires reporting both and noting the disagreement.</w:t>
      </w:r>
    </w:p>
    <w:p>
      <w:pPr>
        <w:pStyle w:val="TableCaption"/>
      </w:pPr>
      <w:r>
        <w:t xml:space="preserve">eTable 4. Robustness of the decision model (H3)</w:t>
      </w:r>
    </w:p>
    <w:tbl>
      <w:tblPr>
        <w:tblStyle w:val="Table"/>
        <w:tblW w:type="pct" w:w="5000"/>
        <w:tblLayout w:type="fixed"/>
        <w:tblLook w:firstRow="1" w:lastRow="0" w:firstColumn="0" w:lastColumn="0" w:noHBand="0" w:noVBand="0" w:val="0020"/>
        <w:tblCaption w:val="eTable 4. Robustness of the decision model (H3)"/>
      </w:tblPr>
      <w:tblGrid>
        <w:gridCol w:w="5013"/>
        <w:gridCol w:w="1690"/>
        <w:gridCol w:w="1877"/>
        <w:gridCol w:w="780"/>
      </w:tblGrid>
      <w:tr>
        <w:trPr>
          <w:tblHeader w:val="on"/>
        </w:trPr>
        <w:tc>
          <w:tcPr/>
          <w:p>
            <w:pPr>
              <w:pStyle w:val="Compact"/>
              <w:jc w:val="left"/>
            </w:pPr>
            <w:r>
              <w:t xml:space="preserve">Analysis</w:t>
            </w:r>
          </w:p>
        </w:tc>
        <w:tc>
          <w:tcPr/>
          <w:p>
            <w:pPr>
              <w:pStyle w:val="Compact"/>
              <w:jc w:val="right"/>
            </w:pPr>
            <w:r>
              <w:t xml:space="preserve">Coefficient</w:t>
            </w:r>
          </w:p>
        </w:tc>
        <w:tc>
          <w:tcPr/>
          <w:p>
            <w:pPr>
              <w:pStyle w:val="Compact"/>
              <w:jc w:val="right"/>
            </w:pPr>
            <w:r>
              <w:t xml:space="preserve">95% interval</w:t>
            </w:r>
          </w:p>
        </w:tc>
        <w:tc>
          <w:tcPr/>
          <w:p>
            <w:pPr>
              <w:pStyle w:val="Compact"/>
              <w:jc w:val="right"/>
            </w:pPr>
            <w:r>
              <w:rPr>
                <w:i/>
                <w:iCs/>
              </w:rPr>
              <w:t xml:space="preserve">P</w:t>
            </w:r>
          </w:p>
        </w:tc>
      </w:tr>
      <w:tr>
        <w:tc>
          <w:tcPr/>
          <w:p>
            <w:pPr>
              <w:pStyle w:val="Compact"/>
              <w:jc w:val="left"/>
            </w:pPr>
            <w:r>
              <w:rPr>
                <w:b/>
                <w:bCs/>
              </w:rPr>
              <w:t xml:space="preserve">Regional pull</w:t>
            </w:r>
          </w:p>
        </w:tc>
        <w:tc>
          <w:tcPr/>
          <w:p>
            <w:pPr>
              <w:pStyle w:val="Compact"/>
            </w:pPr>
          </w:p>
        </w:tc>
        <w:tc>
          <w:tcPr/>
          <w:p>
            <w:pPr>
              <w:pStyle w:val="Compact"/>
            </w:pPr>
          </w:p>
        </w:tc>
        <w:tc>
          <w:tcPr/>
          <w:p>
            <w:pPr>
              <w:pStyle w:val="Compact"/>
            </w:pPr>
          </w:p>
        </w:tc>
      </w:tr>
      <w:tr>
        <w:tc>
          <w:tcPr/>
          <w:p>
            <w:pPr>
              <w:pStyle w:val="Compact"/>
              <w:jc w:val="left"/>
            </w:pPr>
            <w:r>
              <w:t xml:space="preserve">    Confirmatory</w:t>
            </w:r>
          </w:p>
        </w:tc>
        <w:tc>
          <w:tcPr/>
          <w:p>
            <w:pPr>
              <w:pStyle w:val="Compact"/>
              <w:jc w:val="right"/>
            </w:pPr>
            <w:r>
              <w:t xml:space="preserve">1.34</w:t>
            </w:r>
          </w:p>
        </w:tc>
        <w:tc>
          <w:tcPr/>
          <w:p>
            <w:pPr>
              <w:pStyle w:val="Compact"/>
              <w:jc w:val="right"/>
            </w:pPr>
            <w:r>
              <w:t xml:space="preserve">0.44 to 2.30</w:t>
            </w:r>
          </w:p>
        </w:tc>
        <w:tc>
          <w:tcPr/>
          <w:p>
            <w:pPr>
              <w:pStyle w:val="Compact"/>
            </w:pPr>
          </w:p>
        </w:tc>
      </w:tr>
      <w:tr>
        <w:tc>
          <w:tcPr/>
          <w:p>
            <w:pPr>
              <w:pStyle w:val="Compact"/>
              <w:jc w:val="left"/>
            </w:pPr>
            <w:r>
              <w:t xml:space="preserve">    Firth logistic regression (item 5)</w:t>
            </w:r>
          </w:p>
        </w:tc>
        <w:tc>
          <w:tcPr/>
          <w:p>
            <w:pPr>
              <w:pStyle w:val="Compact"/>
              <w:jc w:val="right"/>
            </w:pPr>
            <w:r>
              <w:t xml:space="preserve">1.33</w:t>
            </w:r>
          </w:p>
        </w:tc>
        <w:tc>
          <w:tcPr/>
          <w:p>
            <w:pPr>
              <w:pStyle w:val="Compact"/>
              <w:jc w:val="right"/>
            </w:pPr>
            <w:r>
              <w:t xml:space="preserve">0.25 to 2.54</w:t>
            </w:r>
          </w:p>
        </w:tc>
        <w:tc>
          <w:tcPr/>
          <w:p>
            <w:pPr>
              <w:pStyle w:val="Compact"/>
              <w:jc w:val="right"/>
            </w:pPr>
            <w:r>
              <w:t xml:space="preserve">.004</w:t>
            </w:r>
          </w:p>
        </w:tc>
      </w:tr>
      <w:tr>
        <w:tc>
          <w:tcPr/>
          <w:p>
            <w:pPr>
              <w:pStyle w:val="Compact"/>
              <w:jc w:val="left"/>
            </w:pPr>
            <w:r>
              <w:t xml:space="preserve">    2020-01-01 cohort only (item 3)</w:t>
            </w:r>
          </w:p>
        </w:tc>
        <w:tc>
          <w:tcPr/>
          <w:p>
            <w:pPr>
              <w:pStyle w:val="Compact"/>
              <w:jc w:val="right"/>
            </w:pPr>
            <w:r>
              <w:t xml:space="preserve">1.15</w:t>
            </w:r>
          </w:p>
        </w:tc>
        <w:tc>
          <w:tcPr/>
          <w:p>
            <w:pPr>
              <w:pStyle w:val="Compact"/>
              <w:jc w:val="right"/>
            </w:pPr>
            <w:r>
              <w:t xml:space="preserve">−0.02 to 2.39</w:t>
            </w:r>
          </w:p>
        </w:tc>
        <w:tc>
          <w:tcPr/>
          <w:p>
            <w:pPr>
              <w:pStyle w:val="Compact"/>
            </w:pPr>
          </w:p>
        </w:tc>
      </w:tr>
      <w:tr>
        <w:tc>
          <w:tcPr/>
          <w:p>
            <w:pPr>
              <w:pStyle w:val="Compact"/>
              <w:jc w:val="left"/>
            </w:pPr>
            <w:r>
              <w:t xml:space="preserve">    BY2-BY3 only in step 1 (item 6)</w:t>
            </w:r>
          </w:p>
        </w:tc>
        <w:tc>
          <w:tcPr/>
          <w:p>
            <w:pPr>
              <w:pStyle w:val="Compact"/>
              <w:jc w:val="right"/>
            </w:pPr>
            <w:r>
              <w:t xml:space="preserve">1.33</w:t>
            </w:r>
          </w:p>
        </w:tc>
        <w:tc>
          <w:tcPr/>
          <w:p>
            <w:pPr>
              <w:pStyle w:val="Compact"/>
              <w:jc w:val="right"/>
            </w:pPr>
            <w:r>
              <w:t xml:space="preserve">0.42 to 2.26</w:t>
            </w:r>
          </w:p>
        </w:tc>
        <w:tc>
          <w:tcPr/>
          <w:p>
            <w:pPr>
              <w:pStyle w:val="Compact"/>
            </w:pPr>
          </w:p>
        </w:tc>
      </w:tr>
      <w:tr>
        <w:tc>
          <w:tcPr/>
          <w:p>
            <w:pPr>
              <w:pStyle w:val="Compact"/>
              <w:jc w:val="left"/>
            </w:pPr>
            <w:r>
              <w:t xml:space="preserve">    No measurement-error model (item 7)</w:t>
            </w:r>
          </w:p>
        </w:tc>
        <w:tc>
          <w:tcPr/>
          <w:p>
            <w:pPr>
              <w:pStyle w:val="Compact"/>
              <w:jc w:val="right"/>
            </w:pPr>
            <w:r>
              <w:t xml:space="preserve">1.22</w:t>
            </w:r>
          </w:p>
        </w:tc>
        <w:tc>
          <w:tcPr/>
          <w:p>
            <w:pPr>
              <w:pStyle w:val="Compact"/>
              <w:jc w:val="right"/>
            </w:pPr>
            <w:r>
              <w:t xml:space="preserve">0.34 to 2.20</w:t>
            </w:r>
          </w:p>
        </w:tc>
        <w:tc>
          <w:tcPr/>
          <w:p>
            <w:pPr>
              <w:pStyle w:val="Compact"/>
            </w:pPr>
          </w:p>
        </w:tc>
      </w:tr>
      <w:tr>
        <w:tc>
          <w:tcPr/>
          <w:p>
            <w:pPr>
              <w:pStyle w:val="Compact"/>
              <w:jc w:val="left"/>
            </w:pPr>
            <w:r>
              <w:t xml:space="preserve">    Complete cases (item 8)</w:t>
            </w:r>
          </w:p>
        </w:tc>
        <w:tc>
          <w:tcPr/>
          <w:p>
            <w:pPr>
              <w:pStyle w:val="Compact"/>
              <w:jc w:val="right"/>
            </w:pPr>
            <w:r>
              <w:t xml:space="preserve">1.34</w:t>
            </w:r>
          </w:p>
        </w:tc>
        <w:tc>
          <w:tcPr/>
          <w:p>
            <w:pPr>
              <w:pStyle w:val="Compact"/>
              <w:jc w:val="right"/>
            </w:pPr>
            <w:r>
              <w:t xml:space="preserve">0.38 to 2.32</w:t>
            </w:r>
          </w:p>
        </w:tc>
        <w:tc>
          <w:tcPr/>
          <w:p>
            <w:pPr>
              <w:pStyle w:val="Compact"/>
            </w:pPr>
          </w:p>
        </w:tc>
      </w:tr>
      <w:tr>
        <w:tc>
          <w:tcPr/>
          <w:p>
            <w:pPr>
              <w:pStyle w:val="Compact"/>
              <w:jc w:val="left"/>
            </w:pPr>
            <w:r>
              <w:t xml:space="preserve">    Unadjusted county spending (item 9)</w:t>
            </w:r>
          </w:p>
        </w:tc>
        <w:tc>
          <w:tcPr/>
          <w:p>
            <w:pPr>
              <w:pStyle w:val="Compact"/>
              <w:jc w:val="right"/>
            </w:pPr>
            <w:r>
              <w:t xml:space="preserve">0.75</w:t>
            </w:r>
          </w:p>
        </w:tc>
        <w:tc>
          <w:tcPr/>
          <w:p>
            <w:pPr>
              <w:pStyle w:val="Compact"/>
              <w:jc w:val="right"/>
            </w:pPr>
            <w:r>
              <w:t xml:space="preserve">−0.02 to 1.56</w:t>
            </w:r>
          </w:p>
        </w:tc>
        <w:tc>
          <w:tcPr/>
          <w:p>
            <w:pPr>
              <w:pStyle w:val="Compact"/>
            </w:pPr>
          </w:p>
        </w:tc>
      </w:tr>
      <w:tr>
        <w:tc>
          <w:tcPr/>
          <w:p>
            <w:pPr>
              <w:pStyle w:val="Compact"/>
              <w:jc w:val="left"/>
            </w:pPr>
            <w:r>
              <w:rPr>
                <w:b/>
                <w:bCs/>
              </w:rPr>
              <w:t xml:space="preserve">Own-spending component</w:t>
            </w:r>
          </w:p>
        </w:tc>
        <w:tc>
          <w:tcPr/>
          <w:p>
            <w:pPr>
              <w:pStyle w:val="Compact"/>
            </w:pPr>
          </w:p>
        </w:tc>
        <w:tc>
          <w:tcPr/>
          <w:p>
            <w:pPr>
              <w:pStyle w:val="Compact"/>
            </w:pPr>
          </w:p>
        </w:tc>
        <w:tc>
          <w:tcPr/>
          <w:p>
            <w:pPr>
              <w:pStyle w:val="Compact"/>
            </w:pPr>
          </w:p>
        </w:tc>
      </w:tr>
      <w:tr>
        <w:tc>
          <w:tcPr/>
          <w:p>
            <w:pPr>
              <w:pStyle w:val="Compact"/>
              <w:jc w:val="left"/>
            </w:pPr>
            <w:r>
              <w:t xml:space="preserve">    Confirmatory</w:t>
            </w:r>
          </w:p>
        </w:tc>
        <w:tc>
          <w:tcPr/>
          <w:p>
            <w:pPr>
              <w:pStyle w:val="Compact"/>
              <w:jc w:val="right"/>
            </w:pPr>
            <w:r>
              <w:t xml:space="preserve">−0.05</w:t>
            </w:r>
          </w:p>
        </w:tc>
        <w:tc>
          <w:tcPr/>
          <w:p>
            <w:pPr>
              <w:pStyle w:val="Compact"/>
              <w:jc w:val="right"/>
            </w:pPr>
            <w:r>
              <w:t xml:space="preserve">−2.01 to 1.92</w:t>
            </w:r>
          </w:p>
        </w:tc>
        <w:tc>
          <w:tcPr/>
          <w:p>
            <w:pPr>
              <w:pStyle w:val="Compact"/>
            </w:pPr>
          </w:p>
        </w:tc>
      </w:tr>
      <w:tr>
        <w:tc>
          <w:tcPr/>
          <w:p>
            <w:pPr>
              <w:pStyle w:val="Compact"/>
              <w:jc w:val="left"/>
            </w:pPr>
            <w:r>
              <w:t xml:space="preserve">    Firth logistic regression (item 5)</w:t>
            </w:r>
          </w:p>
        </w:tc>
        <w:tc>
          <w:tcPr/>
          <w:p>
            <w:pPr>
              <w:pStyle w:val="Compact"/>
              <w:jc w:val="right"/>
            </w:pPr>
            <w:r>
              <w:t xml:space="preserve">−0.65</w:t>
            </w:r>
          </w:p>
        </w:tc>
        <w:tc>
          <w:tcPr/>
          <w:p>
            <w:pPr>
              <w:pStyle w:val="Compact"/>
              <w:jc w:val="right"/>
            </w:pPr>
            <w:r>
              <w:t xml:space="preserve">−1.74 to 0.30</w:t>
            </w:r>
          </w:p>
        </w:tc>
        <w:tc>
          <w:tcPr/>
          <w:p>
            <w:pPr>
              <w:pStyle w:val="Compact"/>
              <w:jc w:val="right"/>
            </w:pPr>
            <w:r>
              <w:t xml:space="preserve">.18</w:t>
            </w:r>
          </w:p>
        </w:tc>
      </w:tr>
      <w:tr>
        <w:tc>
          <w:tcPr/>
          <w:p>
            <w:pPr>
              <w:pStyle w:val="Compact"/>
              <w:jc w:val="left"/>
            </w:pPr>
            <w:r>
              <w:t xml:space="preserve">    2020-01-01 cohort only (item 3)</w:t>
            </w:r>
          </w:p>
        </w:tc>
        <w:tc>
          <w:tcPr/>
          <w:p>
            <w:pPr>
              <w:pStyle w:val="Compact"/>
              <w:jc w:val="right"/>
            </w:pPr>
            <w:r>
              <w:t xml:space="preserve">−0.03</w:t>
            </w:r>
          </w:p>
        </w:tc>
        <w:tc>
          <w:tcPr/>
          <w:p>
            <w:pPr>
              <w:pStyle w:val="Compact"/>
              <w:jc w:val="right"/>
            </w:pPr>
            <w:r>
              <w:t xml:space="preserve">−1.97 to 1.96</w:t>
            </w:r>
          </w:p>
        </w:tc>
        <w:tc>
          <w:tcPr/>
          <w:p>
            <w:pPr>
              <w:pStyle w:val="Compact"/>
            </w:pPr>
          </w:p>
        </w:tc>
      </w:tr>
      <w:tr>
        <w:tc>
          <w:tcPr/>
          <w:p>
            <w:pPr>
              <w:pStyle w:val="Compact"/>
              <w:jc w:val="left"/>
            </w:pPr>
            <w:r>
              <w:t xml:space="preserve">    BY2-BY3 only in step 1 (item 6)</w:t>
            </w:r>
          </w:p>
        </w:tc>
        <w:tc>
          <w:tcPr/>
          <w:p>
            <w:pPr>
              <w:pStyle w:val="Compact"/>
              <w:jc w:val="right"/>
            </w:pPr>
            <w:r>
              <w:t xml:space="preserve">−0.02</w:t>
            </w:r>
          </w:p>
        </w:tc>
        <w:tc>
          <w:tcPr/>
          <w:p>
            <w:pPr>
              <w:pStyle w:val="Compact"/>
              <w:jc w:val="right"/>
            </w:pPr>
            <w:r>
              <w:t xml:space="preserve">−1.98 to 1.97</w:t>
            </w:r>
          </w:p>
        </w:tc>
        <w:tc>
          <w:tcPr/>
          <w:p>
            <w:pPr>
              <w:pStyle w:val="Compact"/>
            </w:pPr>
          </w:p>
        </w:tc>
      </w:tr>
      <w:tr>
        <w:tc>
          <w:tcPr/>
          <w:p>
            <w:pPr>
              <w:pStyle w:val="Compact"/>
              <w:jc w:val="left"/>
            </w:pPr>
            <w:r>
              <w:t xml:space="preserve">    No measurement-error model (item 7)</w:t>
            </w:r>
          </w:p>
        </w:tc>
        <w:tc>
          <w:tcPr/>
          <w:p>
            <w:pPr>
              <w:pStyle w:val="Compact"/>
              <w:jc w:val="right"/>
            </w:pPr>
            <w:r>
              <w:t xml:space="preserve">−0.64</w:t>
            </w:r>
          </w:p>
        </w:tc>
        <w:tc>
          <w:tcPr/>
          <w:p>
            <w:pPr>
              <w:pStyle w:val="Compact"/>
              <w:jc w:val="right"/>
            </w:pPr>
            <w:r>
              <w:t xml:space="preserve">−1.51 to 0.23</w:t>
            </w:r>
          </w:p>
        </w:tc>
        <w:tc>
          <w:tcPr/>
          <w:p>
            <w:pPr>
              <w:pStyle w:val="Compact"/>
            </w:pPr>
          </w:p>
        </w:tc>
      </w:tr>
      <w:tr>
        <w:tc>
          <w:tcPr/>
          <w:p>
            <w:pPr>
              <w:pStyle w:val="Compact"/>
              <w:jc w:val="left"/>
            </w:pPr>
            <w:r>
              <w:t xml:space="preserve">    Complete cases (item 8)</w:t>
            </w:r>
          </w:p>
        </w:tc>
        <w:tc>
          <w:tcPr/>
          <w:p>
            <w:pPr>
              <w:pStyle w:val="Compact"/>
              <w:jc w:val="right"/>
            </w:pPr>
            <w:r>
              <w:t xml:space="preserve">−0.06</w:t>
            </w:r>
          </w:p>
        </w:tc>
        <w:tc>
          <w:tcPr/>
          <w:p>
            <w:pPr>
              <w:pStyle w:val="Compact"/>
              <w:jc w:val="right"/>
            </w:pPr>
            <w:r>
              <w:t xml:space="preserve">−2.04 to 1.95</w:t>
            </w:r>
          </w:p>
        </w:tc>
        <w:tc>
          <w:tcPr/>
          <w:p>
            <w:pPr>
              <w:pStyle w:val="Compact"/>
            </w:pPr>
          </w:p>
        </w:tc>
      </w:tr>
      <w:tr>
        <w:tc>
          <w:tcPr/>
          <w:p>
            <w:pPr>
              <w:pStyle w:val="Compact"/>
              <w:jc w:val="left"/>
            </w:pPr>
            <w:r>
              <w:t xml:space="preserve">    Unadjusted county spending (item 9)</w:t>
            </w:r>
          </w:p>
        </w:tc>
        <w:tc>
          <w:tcPr/>
          <w:p>
            <w:pPr>
              <w:pStyle w:val="Compact"/>
              <w:jc w:val="right"/>
            </w:pPr>
            <w:r>
              <w:t xml:space="preserve">−0.04</w:t>
            </w:r>
          </w:p>
        </w:tc>
        <w:tc>
          <w:tcPr/>
          <w:p>
            <w:pPr>
              <w:pStyle w:val="Compact"/>
              <w:jc w:val="right"/>
            </w:pPr>
            <w:r>
              <w:t xml:space="preserve">−1.99 to 1.93</w:t>
            </w:r>
          </w:p>
        </w:tc>
        <w:tc>
          <w:tcPr/>
          <w:p>
            <w:pPr>
              <w:pStyle w:val="Compact"/>
            </w:pPr>
          </w:p>
        </w:tc>
      </w:tr>
      <w:tr>
        <w:tc>
          <w:tcPr/>
          <w:p>
            <w:pPr>
              <w:pStyle w:val="Compact"/>
              <w:jc w:val="left"/>
            </w:pPr>
            <w:r>
              <w:rPr>
                <w:b/>
                <w:bCs/>
              </w:rPr>
              <w:t xml:space="preserve">Higher BASIC level (C-E)</w:t>
            </w:r>
          </w:p>
        </w:tc>
        <w:tc>
          <w:tcPr/>
          <w:p>
            <w:pPr>
              <w:pStyle w:val="Compact"/>
            </w:pPr>
          </w:p>
        </w:tc>
        <w:tc>
          <w:tcPr/>
          <w:p>
            <w:pPr>
              <w:pStyle w:val="Compact"/>
            </w:pPr>
          </w:p>
        </w:tc>
        <w:tc>
          <w:tcPr/>
          <w:p>
            <w:pPr>
              <w:pStyle w:val="Compact"/>
            </w:pPr>
          </w:p>
        </w:tc>
      </w:tr>
      <w:tr>
        <w:tc>
          <w:tcPr/>
          <w:p>
            <w:pPr>
              <w:pStyle w:val="Compact"/>
              <w:jc w:val="left"/>
            </w:pPr>
            <w:r>
              <w:t xml:space="preserve">    Confirmatory</w:t>
            </w:r>
          </w:p>
        </w:tc>
        <w:tc>
          <w:tcPr/>
          <w:p>
            <w:pPr>
              <w:pStyle w:val="Compact"/>
              <w:jc w:val="right"/>
            </w:pPr>
            <w:r>
              <w:t xml:space="preserve">1.34</w:t>
            </w:r>
          </w:p>
        </w:tc>
        <w:tc>
          <w:tcPr/>
          <w:p>
            <w:pPr>
              <w:pStyle w:val="Compact"/>
              <w:jc w:val="right"/>
            </w:pPr>
            <w:r>
              <w:t xml:space="preserve">0.38 to 2.31</w:t>
            </w:r>
          </w:p>
        </w:tc>
        <w:tc>
          <w:tcPr/>
          <w:p>
            <w:pPr>
              <w:pStyle w:val="Compact"/>
            </w:pPr>
          </w:p>
        </w:tc>
      </w:tr>
      <w:tr>
        <w:tc>
          <w:tcPr/>
          <w:p>
            <w:pPr>
              <w:pStyle w:val="Compact"/>
              <w:jc w:val="left"/>
            </w:pPr>
            <w:r>
              <w:t xml:space="preserve">    Firth logistic regression (item 5)</w:t>
            </w:r>
          </w:p>
        </w:tc>
        <w:tc>
          <w:tcPr/>
          <w:p>
            <w:pPr>
              <w:pStyle w:val="Compact"/>
              <w:jc w:val="right"/>
            </w:pPr>
            <w:r>
              <w:t xml:space="preserve">1.55</w:t>
            </w:r>
          </w:p>
        </w:tc>
        <w:tc>
          <w:tcPr/>
          <w:p>
            <w:pPr>
              <w:pStyle w:val="Compact"/>
              <w:jc w:val="right"/>
            </w:pPr>
            <w:r>
              <w:t xml:space="preserve">0.53 to 2.70</w:t>
            </w:r>
          </w:p>
        </w:tc>
        <w:tc>
          <w:tcPr/>
          <w:p>
            <w:pPr>
              <w:pStyle w:val="Compact"/>
              <w:jc w:val="right"/>
            </w:pPr>
            <w:r>
              <w:t xml:space="preserve">.006</w:t>
            </w:r>
          </w:p>
        </w:tc>
      </w:tr>
      <w:tr>
        <w:tc>
          <w:tcPr/>
          <w:p>
            <w:pPr>
              <w:pStyle w:val="Compact"/>
              <w:jc w:val="left"/>
            </w:pPr>
            <w:r>
              <w:t xml:space="preserve">    2020-01-01 cohort only (item 3)</w:t>
            </w:r>
          </w:p>
        </w:tc>
        <w:tc>
          <w:tcPr/>
          <w:p>
            <w:pPr>
              <w:pStyle w:val="Compact"/>
              <w:jc w:val="right"/>
            </w:pPr>
            <w:r>
              <w:t xml:space="preserve">1.57</w:t>
            </w:r>
          </w:p>
        </w:tc>
        <w:tc>
          <w:tcPr/>
          <w:p>
            <w:pPr>
              <w:pStyle w:val="Compact"/>
              <w:jc w:val="right"/>
            </w:pPr>
            <w:r>
              <w:t xml:space="preserve">0.42 to 2.76</w:t>
            </w:r>
          </w:p>
        </w:tc>
        <w:tc>
          <w:tcPr/>
          <w:p>
            <w:pPr>
              <w:pStyle w:val="Compact"/>
            </w:pPr>
          </w:p>
        </w:tc>
      </w:tr>
      <w:tr>
        <w:tc>
          <w:tcPr/>
          <w:p>
            <w:pPr>
              <w:pStyle w:val="Compact"/>
              <w:jc w:val="left"/>
            </w:pPr>
            <w:r>
              <w:t xml:space="preserve">    BY2-BY3 only in step 1 (item 6)</w:t>
            </w:r>
          </w:p>
        </w:tc>
        <w:tc>
          <w:tcPr/>
          <w:p>
            <w:pPr>
              <w:pStyle w:val="Compact"/>
              <w:jc w:val="right"/>
            </w:pPr>
            <w:r>
              <w:t xml:space="preserve">1.33</w:t>
            </w:r>
          </w:p>
        </w:tc>
        <w:tc>
          <w:tcPr/>
          <w:p>
            <w:pPr>
              <w:pStyle w:val="Compact"/>
              <w:jc w:val="right"/>
            </w:pPr>
            <w:r>
              <w:t xml:space="preserve">0.41 to 2.28</w:t>
            </w:r>
          </w:p>
        </w:tc>
        <w:tc>
          <w:tcPr/>
          <w:p>
            <w:pPr>
              <w:pStyle w:val="Compact"/>
            </w:pPr>
          </w:p>
        </w:tc>
      </w:tr>
      <w:tr>
        <w:tc>
          <w:tcPr/>
          <w:p>
            <w:pPr>
              <w:pStyle w:val="Compact"/>
              <w:jc w:val="left"/>
            </w:pPr>
            <w:r>
              <w:t xml:space="preserve">    No measurement-error model (item 7)</w:t>
            </w:r>
          </w:p>
        </w:tc>
        <w:tc>
          <w:tcPr/>
          <w:p>
            <w:pPr>
              <w:pStyle w:val="Compact"/>
              <w:jc w:val="right"/>
            </w:pPr>
            <w:r>
              <w:t xml:space="preserve">1.26</w:t>
            </w:r>
          </w:p>
        </w:tc>
        <w:tc>
          <w:tcPr/>
          <w:p>
            <w:pPr>
              <w:pStyle w:val="Compact"/>
              <w:jc w:val="right"/>
            </w:pPr>
            <w:r>
              <w:t xml:space="preserve">0.33 to 2.23</w:t>
            </w:r>
          </w:p>
        </w:tc>
        <w:tc>
          <w:tcPr/>
          <w:p>
            <w:pPr>
              <w:pStyle w:val="Compact"/>
            </w:pPr>
          </w:p>
        </w:tc>
      </w:tr>
      <w:tr>
        <w:tc>
          <w:tcPr/>
          <w:p>
            <w:pPr>
              <w:pStyle w:val="Compact"/>
              <w:jc w:val="left"/>
            </w:pPr>
            <w:r>
              <w:t xml:space="preserve">    Complete cases (item 8)</w:t>
            </w:r>
          </w:p>
        </w:tc>
        <w:tc>
          <w:tcPr/>
          <w:p>
            <w:pPr>
              <w:pStyle w:val="Compact"/>
              <w:jc w:val="right"/>
            </w:pPr>
            <w:r>
              <w:t xml:space="preserve">1.34</w:t>
            </w:r>
          </w:p>
        </w:tc>
        <w:tc>
          <w:tcPr/>
          <w:p>
            <w:pPr>
              <w:pStyle w:val="Compact"/>
              <w:jc w:val="right"/>
            </w:pPr>
            <w:r>
              <w:t xml:space="preserve">0.41 to 2.32</w:t>
            </w:r>
          </w:p>
        </w:tc>
        <w:tc>
          <w:tcPr/>
          <w:p>
            <w:pPr>
              <w:pStyle w:val="Compact"/>
            </w:pPr>
          </w:p>
        </w:tc>
      </w:tr>
      <w:tr>
        <w:tc>
          <w:tcPr/>
          <w:p>
            <w:pPr>
              <w:pStyle w:val="Compact"/>
              <w:jc w:val="left"/>
            </w:pPr>
            <w:r>
              <w:t xml:space="preserve">    Unadjusted county spending (item 9)</w:t>
            </w:r>
          </w:p>
        </w:tc>
        <w:tc>
          <w:tcPr/>
          <w:p>
            <w:pPr>
              <w:pStyle w:val="Compact"/>
              <w:jc w:val="right"/>
            </w:pPr>
            <w:r>
              <w:t xml:space="preserve">1.52</w:t>
            </w:r>
          </w:p>
        </w:tc>
        <w:tc>
          <w:tcPr/>
          <w:p>
            <w:pPr>
              <w:pStyle w:val="Compact"/>
              <w:jc w:val="right"/>
            </w:pPr>
            <w:r>
              <w:t xml:space="preserve">0.61 to 2.47</w:t>
            </w:r>
          </w:p>
        </w:tc>
        <w:tc>
          <w:tcPr/>
          <w:p>
            <w:pPr>
              <w:pStyle w:val="Compact"/>
            </w:pPr>
          </w:p>
        </w:tc>
      </w:tr>
    </w:tbl>
    <w:p>
      <w:pPr>
        <w:pStyle w:val="BodyText"/>
      </w:pPr>
      <w:r>
        <w:t xml:space="preserve">Log-odds differences per 2 SD (BASIC level: C-E vs A-B). The Firth regression includes the core predictors and cohort, with profile-likelihood intervals and a direct-simulation P value; it would have decided H3 only if the Bayesian model had failed its convergence checks.</w:t>
      </w:r>
    </w:p>
    <w:p>
      <w:pPr>
        <w:pStyle w:val="TableCaption"/>
      </w:pPr>
      <w:r>
        <w:t xml:space="preserve">eTable 5. Convergence and predictive checks of the decision model (H3)</w:t>
      </w:r>
    </w:p>
    <w:tbl>
      <w:tblPr>
        <w:tblStyle w:val="Table"/>
        <w:tblW w:type="pct" w:w="5000"/>
        <w:tblLayout w:type="fixed"/>
        <w:tblLook w:firstRow="1" w:lastRow="0" w:firstColumn="0" w:lastColumn="0" w:noHBand="0" w:noVBand="0" w:val="0020"/>
        <w:tblCaption w:val="eTable 5. Convergence and predictive checks of the decision model (H3)"/>
      </w:tblPr>
      <w:tblGrid>
        <w:gridCol w:w="6807"/>
        <w:gridCol w:w="2553"/>
      </w:tblGrid>
      <w:tr>
        <w:trPr>
          <w:tblHeader w:val="on"/>
        </w:trPr>
        <w:tc>
          <w:tcPr/>
          <w:p>
            <w:pPr>
              <w:pStyle w:val="Compact"/>
              <w:jc w:val="left"/>
            </w:pPr>
            <w:r>
              <w:t xml:space="preserve">Check</w:t>
            </w:r>
          </w:p>
        </w:tc>
        <w:tc>
          <w:tcPr/>
          <w:p>
            <w:pPr>
              <w:pStyle w:val="Compact"/>
              <w:jc w:val="right"/>
            </w:pPr>
            <w:r>
              <w:t xml:space="preserve">Result</w:t>
            </w:r>
          </w:p>
        </w:tc>
      </w:tr>
      <w:tr>
        <w:tc>
          <w:tcPr/>
          <w:p>
            <w:pPr>
              <w:pStyle w:val="Compact"/>
              <w:jc w:val="left"/>
            </w:pPr>
            <w:r>
              <w:t xml:space="preserve">Largest R-hat (Normal / Student-t prior)</w:t>
            </w:r>
          </w:p>
        </w:tc>
        <w:tc>
          <w:tcPr/>
          <w:p>
            <w:pPr>
              <w:pStyle w:val="Compact"/>
              <w:jc w:val="right"/>
            </w:pPr>
            <w:r>
              <w:t xml:space="preserve">1.001 / 1.001</w:t>
            </w:r>
          </w:p>
        </w:tc>
      </w:tr>
      <w:tr>
        <w:tc>
          <w:tcPr/>
          <w:p>
            <w:pPr>
              <w:pStyle w:val="Compact"/>
              <w:jc w:val="left"/>
            </w:pPr>
            <w:r>
              <w:t xml:space="preserve">Smallest bulk effective sample size</w:t>
            </w:r>
          </w:p>
        </w:tc>
        <w:tc>
          <w:tcPr/>
          <w:p>
            <w:pPr>
              <w:pStyle w:val="Compact"/>
              <w:jc w:val="right"/>
            </w:pPr>
            <w:r>
              <w:t xml:space="preserve">6,661 / 6,179</w:t>
            </w:r>
          </w:p>
        </w:tc>
      </w:tr>
      <w:tr>
        <w:tc>
          <w:tcPr/>
          <w:p>
            <w:pPr>
              <w:pStyle w:val="Compact"/>
              <w:jc w:val="left"/>
            </w:pPr>
            <w:r>
              <w:t xml:space="preserve">Divergent transitions</w:t>
            </w:r>
          </w:p>
        </w:tc>
        <w:tc>
          <w:tcPr/>
          <w:p>
            <w:pPr>
              <w:pStyle w:val="Compact"/>
              <w:jc w:val="right"/>
            </w:pPr>
            <w:r>
              <w:t xml:space="preserve">0 / 0</w:t>
            </w:r>
          </w:p>
        </w:tc>
      </w:tr>
      <w:tr>
        <w:tc>
          <w:tcPr/>
          <w:p>
            <w:pPr>
              <w:pStyle w:val="Compact"/>
              <w:jc w:val="left"/>
            </w:pPr>
            <w:r>
              <w:t xml:space="preserve">Fits needed (registered maximum: 2)</w:t>
            </w:r>
          </w:p>
        </w:tc>
        <w:tc>
          <w:tcPr/>
          <w:p>
            <w:pPr>
              <w:pStyle w:val="Compact"/>
              <w:jc w:val="right"/>
            </w:pPr>
            <w:r>
              <w:t xml:space="preserve">1 / 2</w:t>
            </w:r>
          </w:p>
        </w:tc>
      </w:tr>
      <w:tr>
        <w:tc>
          <w:tcPr/>
          <w:p>
            <w:pPr>
              <w:pStyle w:val="Compact"/>
              <w:jc w:val="left"/>
            </w:pPr>
            <w:r>
              <w:t xml:space="preserve">Prior predictive share renewing early, median (95% range)</w:t>
            </w:r>
          </w:p>
        </w:tc>
        <w:tc>
          <w:tcPr/>
          <w:p>
            <w:pPr>
              <w:pStyle w:val="Compact"/>
              <w:jc w:val="right"/>
            </w:pPr>
            <w:r>
              <w:t xml:space="preserve">17% (1% to 70%)</w:t>
            </w:r>
          </w:p>
        </w:tc>
      </w:tr>
      <w:tr>
        <w:tc>
          <w:tcPr/>
          <w:p>
            <w:pPr>
              <w:pStyle w:val="Compact"/>
              <w:jc w:val="left"/>
            </w:pPr>
            <w:r>
              <w:t xml:space="preserve">Observed early renewers (posterior predictive 95% range)</w:t>
            </w:r>
          </w:p>
        </w:tc>
        <w:tc>
          <w:tcPr/>
          <w:p>
            <w:pPr>
              <w:pStyle w:val="Compact"/>
              <w:jc w:val="right"/>
            </w:pPr>
            <w:r>
              <w:t xml:space="preserve">24 (14 to 37)</w:t>
            </w:r>
          </w:p>
        </w:tc>
      </w:tr>
      <w:tr>
        <w:tc>
          <w:tcPr/>
          <w:p>
            <w:pPr>
              <w:pStyle w:val="Compact"/>
              <w:jc w:val="left"/>
            </w:pPr>
            <w:r>
              <w:t xml:space="preserve">Top predicted decile: observed vs predicted share</w:t>
            </w:r>
          </w:p>
        </w:tc>
        <w:tc>
          <w:tcPr/>
          <w:p>
            <w:pPr>
              <w:pStyle w:val="Compact"/>
              <w:jc w:val="right"/>
            </w:pPr>
            <w:r>
              <w:t xml:space="preserve">57% vs 45%</w:t>
            </w:r>
          </w:p>
        </w:tc>
      </w:tr>
      <w:tr>
        <w:tc>
          <w:tcPr/>
          <w:p>
            <w:pPr>
              <w:pStyle w:val="Compact"/>
              <w:jc w:val="left"/>
            </w:pPr>
            <w:r>
              <w:t xml:space="preserve">Direct-simulation refits not converged (pull / own / BASIC level)</w:t>
            </w:r>
          </w:p>
        </w:tc>
        <w:tc>
          <w:tcPr/>
          <w:p>
            <w:pPr>
              <w:pStyle w:val="Compact"/>
              <w:jc w:val="right"/>
            </w:pPr>
            <w:r>
              <w:t xml:space="preserve">0.34% / 0.38% / 0.43%</w:t>
            </w:r>
          </w:p>
        </w:tc>
      </w:tr>
      <w:tr>
        <w:tc>
          <w:tcPr/>
          <w:p>
            <w:pPr>
              <w:pStyle w:val="Compact"/>
              <w:jc w:val="left"/>
            </w:pPr>
            <w:r>
              <w:t xml:space="preserve">Overall test: largest absolute core coefficient (reduced sampler settings)</w:t>
            </w:r>
          </w:p>
        </w:tc>
        <w:tc>
          <w:tcPr/>
          <w:p>
            <w:pPr>
              <w:pStyle w:val="Compact"/>
              <w:jc w:val="right"/>
            </w:pPr>
            <w:r>
              <w:t xml:space="preserve">1.35,</w:t>
            </w:r>
            <w:r>
              <w:t xml:space="preserve"> </w:t>
            </w:r>
            <w:r>
              <w:rPr>
                <w:i/>
                <w:iCs/>
              </w:rPr>
              <w:t xml:space="preserve">P</w:t>
            </w:r>
            <w:r>
              <w:t xml:space="preserve">=.004</w:t>
            </w:r>
          </w:p>
        </w:tc>
      </w:tr>
    </w:tbl>
    <w:p/>
    <w:p>
      <w:pPr>
        <w:pStyle w:val="TableCaption"/>
      </w:pPr>
      <w:r>
        <w:t xml:space="preserve">eTable 6. Conventional (frequentist) counterparts</w:t>
      </w:r>
    </w:p>
    <w:tbl>
      <w:tblPr>
        <w:tblStyle w:val="Table"/>
        <w:tblW w:type="pct" w:w="5000"/>
        <w:tblLayout w:type="fixed"/>
        <w:tblLook w:firstRow="1" w:lastRow="0" w:firstColumn="0" w:lastColumn="0" w:noHBand="0" w:noVBand="0" w:val="0020"/>
        <w:tblCaption w:val="eTable 6. Conventional (frequentist) counterparts"/>
      </w:tblPr>
      <w:tblGrid>
        <w:gridCol w:w="3087"/>
        <w:gridCol w:w="2736"/>
        <w:gridCol w:w="1300"/>
        <w:gridCol w:w="1456"/>
        <w:gridCol w:w="781"/>
      </w:tblGrid>
      <w:tr>
        <w:trPr>
          <w:tblHeader w:val="on"/>
        </w:trPr>
        <w:tc>
          <w:tcPr/>
          <w:p>
            <w:pPr>
              <w:pStyle w:val="Compact"/>
              <w:jc w:val="left"/>
            </w:pPr>
            <w:r>
              <w:t xml:space="preserve">Hypothesis</w:t>
            </w:r>
          </w:p>
        </w:tc>
        <w:tc>
          <w:tcPr/>
          <w:p>
            <w:pPr>
              <w:pStyle w:val="Compact"/>
              <w:jc w:val="left"/>
            </w:pPr>
            <w:r>
              <w:t xml:space="preserve">Method</w:t>
            </w:r>
          </w:p>
        </w:tc>
        <w:tc>
          <w:tcPr/>
          <w:p>
            <w:pPr>
              <w:pStyle w:val="Compact"/>
              <w:jc w:val="right"/>
            </w:pPr>
            <w:r>
              <w:t xml:space="preserve">Estimate</w:t>
            </w:r>
          </w:p>
        </w:tc>
        <w:tc>
          <w:tcPr/>
          <w:p>
            <w:pPr>
              <w:pStyle w:val="Compact"/>
              <w:jc w:val="right"/>
            </w:pPr>
            <w:r>
              <w:t xml:space="preserve">95% CI</w:t>
            </w:r>
          </w:p>
        </w:tc>
        <w:tc>
          <w:tcPr/>
          <w:p>
            <w:pPr>
              <w:pStyle w:val="Compact"/>
              <w:jc w:val="right"/>
            </w:pPr>
            <w:r>
              <w:rPr>
                <w:i/>
                <w:iCs/>
              </w:rPr>
              <w:t xml:space="preserve">P</w:t>
            </w:r>
          </w:p>
        </w:tc>
      </w:tr>
      <w:tr>
        <w:tc>
          <w:tcPr/>
          <w:p>
            <w:pPr>
              <w:pStyle w:val="Compact"/>
              <w:jc w:val="left"/>
            </w:pPr>
            <w:r>
              <w:t xml:space="preserve">H2b, regional pull</w:t>
            </w:r>
          </w:p>
        </w:tc>
        <w:tc>
          <w:tcPr/>
          <w:p>
            <w:pPr>
              <w:pStyle w:val="Compact"/>
              <w:jc w:val="left"/>
            </w:pPr>
            <w:r>
              <w:t xml:space="preserve">Welch t test</w:t>
            </w:r>
          </w:p>
        </w:tc>
        <w:tc>
          <w:tcPr/>
          <w:p>
            <w:pPr>
              <w:pStyle w:val="Compact"/>
              <w:jc w:val="right"/>
            </w:pPr>
            <w:r>
              <w:t xml:space="preserve">+3.2</w:t>
            </w:r>
          </w:p>
        </w:tc>
        <w:tc>
          <w:tcPr/>
          <w:p>
            <w:pPr>
              <w:pStyle w:val="Compact"/>
              <w:jc w:val="right"/>
            </w:pPr>
            <w:r>
              <w:t xml:space="preserve">1.1 to 5.3</w:t>
            </w:r>
          </w:p>
        </w:tc>
        <w:tc>
          <w:tcPr/>
          <w:p>
            <w:pPr>
              <w:pStyle w:val="Compact"/>
              <w:jc w:val="right"/>
            </w:pPr>
            <w:r>
              <w:t xml:space="preserve">.004</w:t>
            </w:r>
          </w:p>
        </w:tc>
      </w:tr>
      <w:tr>
        <w:tc>
          <w:tcPr/>
          <w:p>
            <w:pPr>
              <w:pStyle w:val="Compact"/>
            </w:pPr>
          </w:p>
        </w:tc>
        <w:tc>
          <w:tcPr/>
          <w:p>
            <w:pPr>
              <w:pStyle w:val="Compact"/>
              <w:jc w:val="left"/>
            </w:pPr>
            <w:r>
              <w:t xml:space="preserve">OLS, HC2 errors, cohort</w:t>
            </w:r>
          </w:p>
        </w:tc>
        <w:tc>
          <w:tcPr/>
          <w:p>
            <w:pPr>
              <w:pStyle w:val="Compact"/>
              <w:jc w:val="right"/>
            </w:pPr>
            <w:r>
              <w:t xml:space="preserve">+3.3</w:t>
            </w:r>
          </w:p>
        </w:tc>
        <w:tc>
          <w:tcPr/>
          <w:p>
            <w:pPr>
              <w:pStyle w:val="Compact"/>
              <w:jc w:val="right"/>
            </w:pPr>
            <w:r>
              <w:t xml:space="preserve">1.3 to 5.4</w:t>
            </w:r>
          </w:p>
        </w:tc>
        <w:tc>
          <w:tcPr/>
          <w:p>
            <w:pPr>
              <w:pStyle w:val="Compact"/>
              <w:jc w:val="right"/>
            </w:pPr>
            <w:r>
              <w:t xml:space="preserve">.001</w:t>
            </w:r>
          </w:p>
        </w:tc>
      </w:tr>
      <w:tr>
        <w:tc>
          <w:tcPr/>
          <w:p>
            <w:pPr>
              <w:pStyle w:val="Compact"/>
            </w:pPr>
          </w:p>
        </w:tc>
        <w:tc>
          <w:tcPr/>
          <w:p>
            <w:pPr>
              <w:pStyle w:val="Compact"/>
              <w:jc w:val="left"/>
            </w:pPr>
            <w:r>
              <w:t xml:space="preserve">OLS, HC2 errors, adjusted</w:t>
            </w:r>
          </w:p>
        </w:tc>
        <w:tc>
          <w:tcPr/>
          <w:p>
            <w:pPr>
              <w:pStyle w:val="Compact"/>
              <w:jc w:val="right"/>
            </w:pPr>
            <w:r>
              <w:t xml:space="preserve">+3.0</w:t>
            </w:r>
          </w:p>
        </w:tc>
        <w:tc>
          <w:tcPr/>
          <w:p>
            <w:pPr>
              <w:pStyle w:val="Compact"/>
              <w:jc w:val="right"/>
            </w:pPr>
            <w:r>
              <w:t xml:space="preserve">0.9 to 5.1</w:t>
            </w:r>
          </w:p>
        </w:tc>
        <w:tc>
          <w:tcPr/>
          <w:p>
            <w:pPr>
              <w:pStyle w:val="Compact"/>
              <w:jc w:val="right"/>
            </w:pPr>
            <w:r>
              <w:t xml:space="preserve">.005</w:t>
            </w:r>
          </w:p>
        </w:tc>
      </w:tr>
      <w:tr>
        <w:tc>
          <w:tcPr/>
          <w:p>
            <w:pPr>
              <w:pStyle w:val="Compact"/>
              <w:jc w:val="left"/>
            </w:pPr>
            <w:r>
              <w:t xml:space="preserve">H2a, own-spending component</w:t>
            </w:r>
          </w:p>
        </w:tc>
        <w:tc>
          <w:tcPr/>
          <w:p>
            <w:pPr>
              <w:pStyle w:val="Compact"/>
              <w:jc w:val="left"/>
            </w:pPr>
            <w:r>
              <w:t xml:space="preserve">Welch t test</w:t>
            </w:r>
          </w:p>
        </w:tc>
        <w:tc>
          <w:tcPr/>
          <w:p>
            <w:pPr>
              <w:pStyle w:val="Compact"/>
              <w:jc w:val="right"/>
            </w:pPr>
            <w:r>
              <w:t xml:space="preserve">−2.1</w:t>
            </w:r>
          </w:p>
        </w:tc>
        <w:tc>
          <w:tcPr/>
          <w:p>
            <w:pPr>
              <w:pStyle w:val="Compact"/>
              <w:jc w:val="right"/>
            </w:pPr>
            <w:r>
              <w:t xml:space="preserve">−3.9 to −0.2</w:t>
            </w:r>
          </w:p>
        </w:tc>
        <w:tc>
          <w:tcPr/>
          <w:p>
            <w:pPr>
              <w:pStyle w:val="Compact"/>
              <w:jc w:val="right"/>
            </w:pPr>
            <w:r>
              <w:t xml:space="preserve">.03</w:t>
            </w:r>
          </w:p>
        </w:tc>
      </w:tr>
      <w:tr>
        <w:tc>
          <w:tcPr/>
          <w:p>
            <w:pPr>
              <w:pStyle w:val="Compact"/>
            </w:pPr>
          </w:p>
        </w:tc>
        <w:tc>
          <w:tcPr/>
          <w:p>
            <w:pPr>
              <w:pStyle w:val="Compact"/>
              <w:jc w:val="left"/>
            </w:pPr>
            <w:r>
              <w:t xml:space="preserve">OLS, HC2 errors, cohort</w:t>
            </w:r>
          </w:p>
        </w:tc>
        <w:tc>
          <w:tcPr/>
          <w:p>
            <w:pPr>
              <w:pStyle w:val="Compact"/>
              <w:jc w:val="right"/>
            </w:pPr>
            <w:r>
              <w:t xml:space="preserve">−2.1</w:t>
            </w:r>
          </w:p>
        </w:tc>
        <w:tc>
          <w:tcPr/>
          <w:p>
            <w:pPr>
              <w:pStyle w:val="Compact"/>
              <w:jc w:val="right"/>
            </w:pPr>
            <w:r>
              <w:t xml:space="preserve">−3.8 to −0.4</w:t>
            </w:r>
          </w:p>
        </w:tc>
        <w:tc>
          <w:tcPr/>
          <w:p>
            <w:pPr>
              <w:pStyle w:val="Compact"/>
              <w:jc w:val="right"/>
            </w:pPr>
            <w:r>
              <w:t xml:space="preserve">.02</w:t>
            </w:r>
          </w:p>
        </w:tc>
      </w:tr>
      <w:tr>
        <w:tc>
          <w:tcPr/>
          <w:p>
            <w:pPr>
              <w:pStyle w:val="Compact"/>
            </w:pPr>
          </w:p>
        </w:tc>
        <w:tc>
          <w:tcPr/>
          <w:p>
            <w:pPr>
              <w:pStyle w:val="Compact"/>
              <w:jc w:val="left"/>
            </w:pPr>
            <w:r>
              <w:t xml:space="preserve">OLS, HC2 errors, adjusted</w:t>
            </w:r>
          </w:p>
        </w:tc>
        <w:tc>
          <w:tcPr/>
          <w:p>
            <w:pPr>
              <w:pStyle w:val="Compact"/>
              <w:jc w:val="right"/>
            </w:pPr>
            <w:r>
              <w:t xml:space="preserve">−1.6</w:t>
            </w:r>
          </w:p>
        </w:tc>
        <w:tc>
          <w:tcPr/>
          <w:p>
            <w:pPr>
              <w:pStyle w:val="Compact"/>
              <w:jc w:val="right"/>
            </w:pPr>
            <w:r>
              <w:t xml:space="preserve">−3.3 to 0.1</w:t>
            </w:r>
          </w:p>
        </w:tc>
        <w:tc>
          <w:tcPr/>
          <w:p>
            <w:pPr>
              <w:pStyle w:val="Compact"/>
              <w:jc w:val="right"/>
            </w:pPr>
            <w:r>
              <w:t xml:space="preserve">.06</w:t>
            </w:r>
          </w:p>
        </w:tc>
      </w:tr>
      <w:tr>
        <w:tc>
          <w:tcPr/>
          <w:p>
            <w:pPr>
              <w:pStyle w:val="Compact"/>
              <w:jc w:val="left"/>
            </w:pPr>
            <w:r>
              <w:t xml:space="preserve">H1, savings rate PY2020</w:t>
            </w:r>
          </w:p>
        </w:tc>
        <w:tc>
          <w:tcPr/>
          <w:p>
            <w:pPr>
              <w:pStyle w:val="Compact"/>
              <w:jc w:val="left"/>
            </w:pPr>
            <w:r>
              <w:t xml:space="preserve">Welch t test</w:t>
            </w:r>
          </w:p>
        </w:tc>
        <w:tc>
          <w:tcPr/>
          <w:p>
            <w:pPr>
              <w:pStyle w:val="Compact"/>
              <w:jc w:val="right"/>
            </w:pPr>
            <w:r>
              <w:t xml:space="preserve">+1.8</w:t>
            </w:r>
          </w:p>
        </w:tc>
        <w:tc>
          <w:tcPr/>
          <w:p>
            <w:pPr>
              <w:pStyle w:val="Compact"/>
              <w:jc w:val="right"/>
            </w:pPr>
            <w:r>
              <w:t xml:space="preserve">0.4 to 3.3</w:t>
            </w:r>
          </w:p>
        </w:tc>
        <w:tc>
          <w:tcPr/>
          <w:p>
            <w:pPr>
              <w:pStyle w:val="Compact"/>
              <w:jc w:val="right"/>
            </w:pPr>
            <w:r>
              <w:t xml:space="preserve">.01</w:t>
            </w:r>
          </w:p>
        </w:tc>
      </w:tr>
      <w:tr>
        <w:tc>
          <w:tcPr/>
          <w:p>
            <w:pPr>
              <w:pStyle w:val="Compact"/>
            </w:pPr>
          </w:p>
        </w:tc>
        <w:tc>
          <w:tcPr/>
          <w:p>
            <w:pPr>
              <w:pStyle w:val="Compact"/>
              <w:jc w:val="left"/>
            </w:pPr>
            <w:r>
              <w:t xml:space="preserve">OLS, HC2 errors, cohort</w:t>
            </w:r>
          </w:p>
        </w:tc>
        <w:tc>
          <w:tcPr/>
          <w:p>
            <w:pPr>
              <w:pStyle w:val="Compact"/>
              <w:jc w:val="right"/>
            </w:pPr>
            <w:r>
              <w:t xml:space="preserve">+1.9</w:t>
            </w:r>
          </w:p>
        </w:tc>
        <w:tc>
          <w:tcPr/>
          <w:p>
            <w:pPr>
              <w:pStyle w:val="Compact"/>
              <w:jc w:val="right"/>
            </w:pPr>
            <w:r>
              <w:t xml:space="preserve">0.5 to 3.3</w:t>
            </w:r>
          </w:p>
        </w:tc>
        <w:tc>
          <w:tcPr/>
          <w:p>
            <w:pPr>
              <w:pStyle w:val="Compact"/>
              <w:jc w:val="right"/>
            </w:pPr>
            <w:r>
              <w:t xml:space="preserve">.009</w:t>
            </w:r>
          </w:p>
        </w:tc>
      </w:tr>
      <w:tr>
        <w:tc>
          <w:tcPr/>
          <w:p>
            <w:pPr>
              <w:pStyle w:val="Compact"/>
            </w:pPr>
          </w:p>
        </w:tc>
        <w:tc>
          <w:tcPr/>
          <w:p>
            <w:pPr>
              <w:pStyle w:val="Compact"/>
              <w:jc w:val="left"/>
            </w:pPr>
            <w:r>
              <w:t xml:space="preserve">OLS, HC2 errors, adjusted</w:t>
            </w:r>
          </w:p>
        </w:tc>
        <w:tc>
          <w:tcPr/>
          <w:p>
            <w:pPr>
              <w:pStyle w:val="Compact"/>
              <w:jc w:val="right"/>
            </w:pPr>
            <w:r>
              <w:t xml:space="preserve">+1.4</w:t>
            </w:r>
          </w:p>
        </w:tc>
        <w:tc>
          <w:tcPr/>
          <w:p>
            <w:pPr>
              <w:pStyle w:val="Compact"/>
              <w:jc w:val="right"/>
            </w:pPr>
            <w:r>
              <w:t xml:space="preserve">−0.1 to 2.8</w:t>
            </w:r>
          </w:p>
        </w:tc>
        <w:tc>
          <w:tcPr/>
          <w:p>
            <w:pPr>
              <w:pStyle w:val="Compact"/>
              <w:jc w:val="right"/>
            </w:pPr>
            <w:r>
              <w:t xml:space="preserve">.06</w:t>
            </w:r>
          </w:p>
        </w:tc>
      </w:tr>
      <w:tr>
        <w:tc>
          <w:tcPr/>
          <w:p>
            <w:pPr>
              <w:pStyle w:val="Compact"/>
              <w:jc w:val="left"/>
            </w:pPr>
            <w:r>
              <w:t xml:space="preserve">H4, event study (TWFE)</w:t>
            </w:r>
          </w:p>
        </w:tc>
        <w:tc>
          <w:tcPr/>
          <w:p>
            <w:pPr>
              <w:pStyle w:val="Compact"/>
              <w:jc w:val="left"/>
            </w:pPr>
            <w:r>
              <w:t xml:space="preserve">PY2020 vs PY2021</w:t>
            </w:r>
          </w:p>
        </w:tc>
        <w:tc>
          <w:tcPr/>
          <w:p>
            <w:pPr>
              <w:pStyle w:val="Compact"/>
              <w:jc w:val="right"/>
            </w:pPr>
            <w:r>
              <w:t xml:space="preserve">−0.7</w:t>
            </w:r>
          </w:p>
        </w:tc>
        <w:tc>
          <w:tcPr/>
          <w:p>
            <w:pPr>
              <w:pStyle w:val="Compact"/>
              <w:jc w:val="right"/>
            </w:pPr>
            <w:r>
              <w:t xml:space="preserve">−4.8 to 3.4</w:t>
            </w:r>
          </w:p>
        </w:tc>
        <w:tc>
          <w:tcPr/>
          <w:p>
            <w:pPr>
              <w:pStyle w:val="Compact"/>
              <w:jc w:val="right"/>
            </w:pPr>
            <w:r>
              <w:t xml:space="preserve">.73</w:t>
            </w:r>
          </w:p>
        </w:tc>
      </w:tr>
      <w:tr>
        <w:tc>
          <w:tcPr/>
          <w:p>
            <w:pPr>
              <w:pStyle w:val="Compact"/>
            </w:pPr>
          </w:p>
        </w:tc>
        <w:tc>
          <w:tcPr/>
          <w:p>
            <w:pPr>
              <w:pStyle w:val="Compact"/>
              <w:jc w:val="left"/>
            </w:pPr>
            <w:r>
              <w:t xml:space="preserve">PY2022 vs PY2021</w:t>
            </w:r>
          </w:p>
        </w:tc>
        <w:tc>
          <w:tcPr/>
          <w:p>
            <w:pPr>
              <w:pStyle w:val="Compact"/>
              <w:jc w:val="right"/>
            </w:pPr>
            <w:r>
              <w:t xml:space="preserve">−0.4</w:t>
            </w:r>
          </w:p>
        </w:tc>
        <w:tc>
          <w:tcPr/>
          <w:p>
            <w:pPr>
              <w:pStyle w:val="Compact"/>
              <w:jc w:val="right"/>
            </w:pPr>
            <w:r>
              <w:t xml:space="preserve">−2.8 to 2.0</w:t>
            </w:r>
          </w:p>
        </w:tc>
        <w:tc>
          <w:tcPr/>
          <w:p>
            <w:pPr>
              <w:pStyle w:val="Compact"/>
              <w:jc w:val="right"/>
            </w:pPr>
            <w:r>
              <w:t xml:space="preserve">.75</w:t>
            </w:r>
          </w:p>
        </w:tc>
      </w:tr>
      <w:tr>
        <w:tc>
          <w:tcPr/>
          <w:p>
            <w:pPr>
              <w:pStyle w:val="Compact"/>
            </w:pPr>
          </w:p>
        </w:tc>
        <w:tc>
          <w:tcPr/>
          <w:p>
            <w:pPr>
              <w:pStyle w:val="Compact"/>
              <w:jc w:val="left"/>
            </w:pPr>
            <w:r>
              <w:t xml:space="preserve">PY2023 vs PY2021</w:t>
            </w:r>
          </w:p>
        </w:tc>
        <w:tc>
          <w:tcPr/>
          <w:p>
            <w:pPr>
              <w:pStyle w:val="Compact"/>
              <w:jc w:val="right"/>
            </w:pPr>
            <w:r>
              <w:t xml:space="preserve">−2.6</w:t>
            </w:r>
          </w:p>
        </w:tc>
        <w:tc>
          <w:tcPr/>
          <w:p>
            <w:pPr>
              <w:pStyle w:val="Compact"/>
              <w:jc w:val="right"/>
            </w:pPr>
            <w:r>
              <w:t xml:space="preserve">−7.4 to 2.2</w:t>
            </w:r>
          </w:p>
        </w:tc>
        <w:tc>
          <w:tcPr/>
          <w:p>
            <w:pPr>
              <w:pStyle w:val="Compact"/>
              <w:jc w:val="right"/>
            </w:pPr>
            <w:r>
              <w:t xml:space="preserve">.29</w:t>
            </w:r>
          </w:p>
        </w:tc>
      </w:tr>
      <w:tr>
        <w:tc>
          <w:tcPr/>
          <w:p>
            <w:pPr>
              <w:pStyle w:val="Compact"/>
            </w:pPr>
          </w:p>
        </w:tc>
        <w:tc>
          <w:tcPr/>
          <w:p>
            <w:pPr>
              <w:pStyle w:val="Compact"/>
              <w:jc w:val="left"/>
            </w:pPr>
            <w:r>
              <w:t xml:space="preserve">PY2024 vs PY2021</w:t>
            </w:r>
          </w:p>
        </w:tc>
        <w:tc>
          <w:tcPr/>
          <w:p>
            <w:pPr>
              <w:pStyle w:val="Compact"/>
              <w:jc w:val="right"/>
            </w:pPr>
            <w:r>
              <w:t xml:space="preserve">−3.1</w:t>
            </w:r>
          </w:p>
        </w:tc>
        <w:tc>
          <w:tcPr/>
          <w:p>
            <w:pPr>
              <w:pStyle w:val="Compact"/>
              <w:jc w:val="right"/>
            </w:pPr>
            <w:r>
              <w:t xml:space="preserve">−7.9 to 1.7</w:t>
            </w:r>
          </w:p>
        </w:tc>
        <w:tc>
          <w:tcPr/>
          <w:p>
            <w:pPr>
              <w:pStyle w:val="Compact"/>
              <w:jc w:val="right"/>
            </w:pPr>
            <w:r>
              <w:t xml:space="preserve">.20</w:t>
            </w:r>
          </w:p>
        </w:tc>
      </w:tr>
    </w:tbl>
    <w:p>
      <w:pPr>
        <w:pStyle w:val="BodyText"/>
      </w:pPr>
      <w:r>
        <w:t xml:space="preserve">Reported only; not used for any decision. Differences are early renewers minus stayers (pp; H1 in pp of savings rate). Adjusted OLS adds track, level and size to cohort. Event-study coefficients are log points (0.01 in log spending) relative to PY2021, from two-way fixed effects with errors clustered by ACO. TWFE, two-way fixed effects.</w:t>
      </w:r>
    </w:p>
    <w:p>
      <w:pPr>
        <w:pStyle w:val="TableCaption"/>
      </w:pPr>
      <w:r>
        <w:t xml:space="preserve">eTable 7. Agreement of registered and conventional verdicts</w:t>
      </w:r>
    </w:p>
    <w:tbl>
      <w:tblPr>
        <w:tblStyle w:val="Table"/>
        <w:tblW w:type="pct" w:w="5000"/>
        <w:tblLayout w:type="fixed"/>
        <w:tblLook w:firstRow="1" w:lastRow="0" w:firstColumn="0" w:lastColumn="0" w:noHBand="0" w:noVBand="0" w:val="0020"/>
        <w:tblCaption w:val="eTable 7. Agreement of registered and conventional verdicts"/>
      </w:tblPr>
      <w:tblGrid>
        <w:gridCol w:w="3375"/>
        <w:gridCol w:w="2418"/>
        <w:gridCol w:w="2657"/>
        <w:gridCol w:w="910"/>
      </w:tblGrid>
      <w:tr>
        <w:trPr>
          <w:tblHeader w:val="on"/>
        </w:trPr>
        <w:tc>
          <w:tcPr/>
          <w:p>
            <w:pPr>
              <w:pStyle w:val="Compact"/>
              <w:jc w:val="left"/>
            </w:pPr>
            <w:r>
              <w:t xml:space="preserve">Claim</w:t>
            </w:r>
          </w:p>
        </w:tc>
        <w:tc>
          <w:tcPr/>
          <w:p>
            <w:pPr>
              <w:pStyle w:val="Compact"/>
              <w:jc w:val="left"/>
            </w:pPr>
            <w:r>
              <w:t xml:space="preserve">Registered method</w:t>
            </w:r>
          </w:p>
        </w:tc>
        <w:tc>
          <w:tcPr/>
          <w:p>
            <w:pPr>
              <w:pStyle w:val="Compact"/>
              <w:jc w:val="left"/>
            </w:pPr>
            <w:r>
              <w:t xml:space="preserve">Conventional method</w:t>
            </w:r>
          </w:p>
        </w:tc>
        <w:tc>
          <w:tcPr/>
          <w:p>
            <w:pPr>
              <w:pStyle w:val="Compact"/>
              <w:jc w:val="center"/>
            </w:pPr>
            <w:r>
              <w:t xml:space="preserve">Agree</w:t>
            </w:r>
          </w:p>
        </w:tc>
      </w:tr>
      <w:tr>
        <w:tc>
          <w:tcPr/>
          <w:p>
            <w:pPr>
              <w:pStyle w:val="Compact"/>
              <w:jc w:val="left"/>
            </w:pPr>
            <w:r>
              <w:t xml:space="preserve">H2b</w:t>
            </w:r>
          </w:p>
        </w:tc>
        <w:tc>
          <w:tcPr/>
          <w:p>
            <w:pPr>
              <w:pStyle w:val="Compact"/>
              <w:jc w:val="left"/>
            </w:pPr>
            <w:r>
              <w:t xml:space="preserve">Supported</w:t>
            </w:r>
          </w:p>
        </w:tc>
        <w:tc>
          <w:tcPr/>
          <w:p>
            <w:pPr>
              <w:pStyle w:val="Compact"/>
              <w:jc w:val="left"/>
            </w:pPr>
            <w:r>
              <w:t xml:space="preserve">Supported</w:t>
            </w:r>
          </w:p>
        </w:tc>
        <w:tc>
          <w:tcPr/>
          <w:p>
            <w:pPr>
              <w:pStyle w:val="Compact"/>
              <w:jc w:val="center"/>
            </w:pPr>
            <w:r>
              <w:t xml:space="preserve">Yes</w:t>
            </w:r>
          </w:p>
        </w:tc>
      </w:tr>
      <w:tr>
        <w:tc>
          <w:tcPr/>
          <w:p>
            <w:pPr>
              <w:pStyle w:val="Compact"/>
              <w:jc w:val="left"/>
            </w:pPr>
            <w:r>
              <w:t xml:space="preserve">H2a</w:t>
            </w:r>
          </w:p>
        </w:tc>
        <w:tc>
          <w:tcPr/>
          <w:p>
            <w:pPr>
              <w:pStyle w:val="Compact"/>
              <w:jc w:val="left"/>
            </w:pPr>
            <w:r>
              <w:t xml:space="preserve">Contradicted</w:t>
            </w:r>
          </w:p>
        </w:tc>
        <w:tc>
          <w:tcPr/>
          <w:p>
            <w:pPr>
              <w:pStyle w:val="Compact"/>
              <w:jc w:val="left"/>
            </w:pPr>
            <w:r>
              <w:t xml:space="preserve">Contradicted</w:t>
            </w:r>
          </w:p>
        </w:tc>
        <w:tc>
          <w:tcPr/>
          <w:p>
            <w:pPr>
              <w:pStyle w:val="Compact"/>
              <w:jc w:val="center"/>
            </w:pPr>
            <w:r>
              <w:t xml:space="preserve">Yes</w:t>
            </w:r>
          </w:p>
        </w:tc>
      </w:tr>
      <w:tr>
        <w:tc>
          <w:tcPr/>
          <w:p>
            <w:pPr>
              <w:pStyle w:val="Compact"/>
              <w:jc w:val="left"/>
            </w:pPr>
            <w:r>
              <w:t xml:space="preserve">H3 regional pull</w:t>
            </w:r>
          </w:p>
        </w:tc>
        <w:tc>
          <w:tcPr/>
          <w:p>
            <w:pPr>
              <w:pStyle w:val="Compact"/>
              <w:jc w:val="left"/>
            </w:pPr>
            <w:r>
              <w:t xml:space="preserve">Supported</w:t>
            </w:r>
          </w:p>
        </w:tc>
        <w:tc>
          <w:tcPr/>
          <w:p>
            <w:pPr>
              <w:pStyle w:val="Compact"/>
              <w:jc w:val="left"/>
            </w:pPr>
            <w:r>
              <w:t xml:space="preserve">Supported</w:t>
            </w:r>
          </w:p>
        </w:tc>
        <w:tc>
          <w:tcPr/>
          <w:p>
            <w:pPr>
              <w:pStyle w:val="Compact"/>
              <w:jc w:val="center"/>
            </w:pPr>
            <w:r>
              <w:t xml:space="preserve">Yes</w:t>
            </w:r>
          </w:p>
        </w:tc>
      </w:tr>
      <w:tr>
        <w:tc>
          <w:tcPr/>
          <w:p>
            <w:pPr>
              <w:pStyle w:val="Compact"/>
              <w:jc w:val="left"/>
            </w:pPr>
            <w:r>
              <w:t xml:space="preserve">H3 own-spending component</w:t>
            </w:r>
          </w:p>
        </w:tc>
        <w:tc>
          <w:tcPr/>
          <w:p>
            <w:pPr>
              <w:pStyle w:val="Compact"/>
              <w:jc w:val="left"/>
            </w:pPr>
            <w:r>
              <w:t xml:space="preserve">Undetermined</w:t>
            </w:r>
          </w:p>
        </w:tc>
        <w:tc>
          <w:tcPr/>
          <w:p>
            <w:pPr>
              <w:pStyle w:val="Compact"/>
              <w:jc w:val="left"/>
            </w:pPr>
            <w:r>
              <w:t xml:space="preserve">Undetermined</w:t>
            </w:r>
          </w:p>
        </w:tc>
        <w:tc>
          <w:tcPr/>
          <w:p>
            <w:pPr>
              <w:pStyle w:val="Compact"/>
              <w:jc w:val="center"/>
            </w:pPr>
            <w:r>
              <w:t xml:space="preserve">Yes</w:t>
            </w:r>
          </w:p>
        </w:tc>
      </w:tr>
      <w:tr>
        <w:tc>
          <w:tcPr/>
          <w:p>
            <w:pPr>
              <w:pStyle w:val="Compact"/>
              <w:jc w:val="left"/>
            </w:pPr>
            <w:r>
              <w:t xml:space="preserve">H3 higher BASIC level</w:t>
            </w:r>
          </w:p>
        </w:tc>
        <w:tc>
          <w:tcPr/>
          <w:p>
            <w:pPr>
              <w:pStyle w:val="Compact"/>
              <w:jc w:val="left"/>
            </w:pPr>
            <w:r>
              <w:t xml:space="preserve">Supported</w:t>
            </w:r>
          </w:p>
        </w:tc>
        <w:tc>
          <w:tcPr/>
          <w:p>
            <w:pPr>
              <w:pStyle w:val="Compact"/>
              <w:jc w:val="left"/>
            </w:pPr>
            <w:r>
              <w:t xml:space="preserve">Supported</w:t>
            </w:r>
          </w:p>
        </w:tc>
        <w:tc>
          <w:tcPr/>
          <w:p>
            <w:pPr>
              <w:pStyle w:val="Compact"/>
              <w:jc w:val="center"/>
            </w:pPr>
            <w:r>
              <w:t xml:space="preserve">Yes</w:t>
            </w:r>
          </w:p>
        </w:tc>
      </w:tr>
      <w:tr>
        <w:tc>
          <w:tcPr/>
          <w:p>
            <w:pPr>
              <w:pStyle w:val="Compact"/>
              <w:jc w:val="left"/>
            </w:pPr>
            <w:r>
              <w:t xml:space="preserve">H4</w:t>
            </w:r>
          </w:p>
        </w:tc>
        <w:tc>
          <w:tcPr/>
          <w:p>
            <w:pPr>
              <w:pStyle w:val="Compact"/>
              <w:jc w:val="left"/>
            </w:pPr>
            <w:r>
              <w:t xml:space="preserve">Undetermined</w:t>
            </w:r>
          </w:p>
        </w:tc>
        <w:tc>
          <w:tcPr/>
          <w:p>
            <w:pPr>
              <w:pStyle w:val="Compact"/>
              <w:jc w:val="left"/>
            </w:pPr>
            <w:r>
              <w:t xml:space="preserve">Undetermined</w:t>
            </w:r>
          </w:p>
        </w:tc>
        <w:tc>
          <w:tcPr/>
          <w:p>
            <w:pPr>
              <w:pStyle w:val="Compact"/>
              <w:jc w:val="center"/>
            </w:pPr>
            <w:r>
              <w:t xml:space="preserve">Yes</w:t>
            </w:r>
          </w:p>
        </w:tc>
      </w:tr>
    </w:tbl>
    <w:p>
      <w:pPr>
        <w:pStyle w:val="BodyText"/>
      </w:pPr>
      <w:r>
        <w:t xml:space="preserve">For H2a and H2b the registered conventional counterpart is OLS with HC2 errors; for H3, maximum-likelihood logistic regression; for H4, two-way fixed effects.</w:t>
      </w:r>
      <w:r>
        <w:t xml:space="preserve"> </w:t>
      </w:r>
      <w:r>
        <w:t xml:space="preserve">‘Undetermined’</w:t>
      </w:r>
      <w:r>
        <w:t xml:space="preserve"> </w:t>
      </w:r>
      <w:r>
        <w:t xml:space="preserve">for H4 is the registered label for</w:t>
      </w:r>
      <w:r>
        <w:t xml:space="preserve"> </w:t>
      </w:r>
      <w:r>
        <w:t xml:space="preserve">‘no detectable difference’</w:t>
      </w:r>
      <w:r>
        <w:t xml:space="preserve">.</w:t>
      </w:r>
    </w:p>
    <w:p>
      <w:pPr>
        <w:pStyle w:val="TableCaption"/>
      </w:pPr>
      <w:r>
        <w:t xml:space="preserve">eTable 8. Spending growth after early renewal (H4), with the pre-trend and robustness estimates</w:t>
      </w:r>
    </w:p>
    <w:tbl>
      <w:tblPr>
        <w:tblStyle w:val="Table"/>
        <w:tblW w:type="pct" w:w="5000"/>
        <w:tblLayout w:type="fixed"/>
        <w:tblLook w:firstRow="1" w:lastRow="0" w:firstColumn="0" w:lastColumn="0" w:noHBand="0" w:noVBand="0" w:val="0020"/>
        <w:tblCaption w:val="eTable 8. Spending growth after early renewal (H4), with the pre-trend and robustness estimates"/>
      </w:tblPr>
      <w:tblGrid>
        <w:gridCol w:w="3942"/>
        <w:gridCol w:w="1963"/>
        <w:gridCol w:w="1735"/>
        <w:gridCol w:w="1069"/>
        <w:gridCol w:w="651"/>
      </w:tblGrid>
      <w:tr>
        <w:trPr>
          <w:tblHeader w:val="on"/>
        </w:trPr>
        <w:tc>
          <w:tcPr/>
          <w:p>
            <w:pPr>
              <w:pStyle w:val="Compact"/>
              <w:jc w:val="left"/>
            </w:pPr>
            <w:r>
              <w:t xml:space="preserve">Estimate</w:t>
            </w:r>
          </w:p>
        </w:tc>
        <w:tc>
          <w:tcPr/>
          <w:p>
            <w:pPr>
              <w:pStyle w:val="Compact"/>
              <w:jc w:val="right"/>
            </w:pPr>
            <w:r>
              <w:t xml:space="preserve">Early / comparison, No.</w:t>
            </w:r>
          </w:p>
        </w:tc>
        <w:tc>
          <w:tcPr/>
          <w:p>
            <w:pPr>
              <w:pStyle w:val="Compact"/>
              <w:jc w:val="right"/>
            </w:pPr>
            <w:r>
              <w:t xml:space="preserve">Difference, %</w:t>
            </w:r>
          </w:p>
        </w:tc>
        <w:tc>
          <w:tcPr/>
          <w:p>
            <w:pPr>
              <w:pStyle w:val="Compact"/>
              <w:jc w:val="right"/>
            </w:pPr>
            <w:r>
              <w:t xml:space="preserve">95% CrI</w:t>
            </w:r>
          </w:p>
        </w:tc>
        <w:tc>
          <w:tcPr/>
          <w:p>
            <w:pPr>
              <w:pStyle w:val="Compact"/>
              <w:jc w:val="right"/>
            </w:pPr>
            <w:r>
              <w:rPr>
                <w:i/>
                <w:iCs/>
              </w:rPr>
              <w:t xml:space="preserve">P</w:t>
            </w:r>
          </w:p>
        </w:tc>
      </w:tr>
      <w:tr>
        <w:tc>
          <w:tcPr/>
          <w:p>
            <w:pPr>
              <w:pStyle w:val="Compact"/>
              <w:jc w:val="left"/>
            </w:pPr>
            <w:r>
              <w:rPr>
                <w:b/>
                <w:bCs/>
              </w:rPr>
              <w:t xml:space="preserve">H4, difference-in-differences</w:t>
            </w:r>
          </w:p>
        </w:tc>
        <w:tc>
          <w:tcPr/>
          <w:p>
            <w:pPr>
              <w:pStyle w:val="Compact"/>
              <w:jc w:val="right"/>
            </w:pPr>
            <w:r>
              <w:rPr>
                <w:b/>
                <w:bCs/>
              </w:rPr>
              <w:t xml:space="preserve">29 / 276</w:t>
            </w:r>
          </w:p>
        </w:tc>
        <w:tc>
          <w:tcPr/>
          <w:p>
            <w:pPr>
              <w:pStyle w:val="Compact"/>
              <w:jc w:val="right"/>
            </w:pPr>
            <w:r>
              <w:rPr>
                <w:b/>
                <w:bCs/>
              </w:rPr>
              <w:t xml:space="preserve">−0.4</w:t>
            </w:r>
          </w:p>
        </w:tc>
        <w:tc>
          <w:tcPr/>
          <w:p>
            <w:pPr>
              <w:pStyle w:val="Compact"/>
              <w:jc w:val="right"/>
            </w:pPr>
            <w:r>
              <w:rPr>
                <w:b/>
                <w:bCs/>
              </w:rPr>
              <w:t xml:space="preserve">−4.0 to 2.5</w:t>
            </w:r>
          </w:p>
        </w:tc>
        <w:tc>
          <w:tcPr/>
          <w:p>
            <w:pPr>
              <w:pStyle w:val="Compact"/>
              <w:jc w:val="right"/>
            </w:pPr>
            <w:r>
              <w:rPr>
                <w:b/>
                <w:bCs/>
              </w:rPr>
              <w:t xml:space="preserve">.78</w:t>
            </w:r>
          </w:p>
        </w:tc>
      </w:tr>
      <w:tr>
        <w:tc>
          <w:tcPr/>
          <w:p>
            <w:pPr>
              <w:pStyle w:val="Compact"/>
              <w:jc w:val="left"/>
            </w:pPr>
            <w:r>
              <w:t xml:space="preserve">Pre-trend, PY2020 to PY2021</w:t>
            </w:r>
          </w:p>
        </w:tc>
        <w:tc>
          <w:tcPr/>
          <w:p>
            <w:pPr>
              <w:pStyle w:val="Compact"/>
              <w:jc w:val="right"/>
            </w:pPr>
            <w:r>
              <w:t xml:space="preserve">29 / 276</w:t>
            </w:r>
          </w:p>
        </w:tc>
        <w:tc>
          <w:tcPr/>
          <w:p>
            <w:pPr>
              <w:pStyle w:val="Compact"/>
              <w:jc w:val="right"/>
            </w:pPr>
            <w:r>
              <w:t xml:space="preserve">+0.7</w:t>
            </w:r>
          </w:p>
        </w:tc>
        <w:tc>
          <w:tcPr/>
          <w:p>
            <w:pPr>
              <w:pStyle w:val="Compact"/>
              <w:jc w:val="right"/>
            </w:pPr>
            <w:r>
              <w:t xml:space="preserve">−2.3 to 4.9</w:t>
            </w:r>
          </w:p>
        </w:tc>
        <w:tc>
          <w:tcPr/>
          <w:p>
            <w:pPr>
              <w:pStyle w:val="Compact"/>
              <w:jc w:val="right"/>
            </w:pPr>
            <w:r>
              <w:t xml:space="preserve">.58</w:t>
            </w:r>
          </w:p>
        </w:tc>
      </w:tr>
      <w:tr>
        <w:tc>
          <w:tcPr/>
          <w:p>
            <w:pPr>
              <w:pStyle w:val="Compact"/>
              <w:jc w:val="left"/>
            </w:pPr>
            <w:r>
              <w:t xml:space="preserve">Trend-adjusted</w:t>
            </w:r>
          </w:p>
        </w:tc>
        <w:tc>
          <w:tcPr/>
          <w:p>
            <w:pPr>
              <w:pStyle w:val="Compact"/>
              <w:jc w:val="right"/>
            </w:pPr>
            <w:r>
              <w:t xml:space="preserve">29 / 276</w:t>
            </w:r>
          </w:p>
        </w:tc>
        <w:tc>
          <w:tcPr/>
          <w:p>
            <w:pPr>
              <w:pStyle w:val="Compact"/>
              <w:jc w:val="right"/>
            </w:pPr>
            <w:r>
              <w:t xml:space="preserve">−4.0</w:t>
            </w:r>
          </w:p>
        </w:tc>
        <w:tc>
          <w:tcPr/>
          <w:p>
            <w:pPr>
              <w:pStyle w:val="Compact"/>
              <w:jc w:val="right"/>
            </w:pPr>
            <w:r>
              <w:t xml:space="preserve">−12.0 to 2.7</w:t>
            </w:r>
          </w:p>
        </w:tc>
        <w:tc>
          <w:tcPr/>
          <w:p>
            <w:pPr>
              <w:pStyle w:val="Compact"/>
              <w:jc w:val="right"/>
            </w:pPr>
            <w:r>
              <w:t xml:space="preserve">.14</w:t>
            </w:r>
          </w:p>
        </w:tc>
      </w:tr>
      <w:tr>
        <w:tc>
          <w:tcPr/>
          <w:p>
            <w:pPr>
              <w:pStyle w:val="Compact"/>
              <w:jc w:val="left"/>
            </w:pPr>
            <w:r>
              <w:t xml:space="preserve">Risk-adjusted outcome</w:t>
            </w:r>
          </w:p>
        </w:tc>
        <w:tc>
          <w:tcPr/>
          <w:p>
            <w:pPr>
              <w:pStyle w:val="Compact"/>
              <w:jc w:val="right"/>
            </w:pPr>
            <w:r>
              <w:t xml:space="preserve">29 / 276</w:t>
            </w:r>
          </w:p>
        </w:tc>
        <w:tc>
          <w:tcPr/>
          <w:p>
            <w:pPr>
              <w:pStyle w:val="Compact"/>
              <w:jc w:val="right"/>
            </w:pPr>
            <w:r>
              <w:t xml:space="preserve">+0.3</w:t>
            </w:r>
          </w:p>
        </w:tc>
        <w:tc>
          <w:tcPr/>
          <w:p>
            <w:pPr>
              <w:pStyle w:val="Compact"/>
              <w:jc w:val="right"/>
            </w:pPr>
            <w:r>
              <w:t xml:space="preserve">−2.0 to 2.5</w:t>
            </w:r>
          </w:p>
        </w:tc>
        <w:tc>
          <w:tcPr/>
          <w:p>
            <w:pPr>
              <w:pStyle w:val="Compact"/>
              <w:jc w:val="right"/>
            </w:pPr>
            <w:r>
              <w:t xml:space="preserve">.85</w:t>
            </w:r>
          </w:p>
        </w:tc>
      </w:tr>
      <w:tr>
        <w:tc>
          <w:tcPr/>
          <w:p>
            <w:pPr>
              <w:pStyle w:val="Compact"/>
              <w:jc w:val="left"/>
            </w:pPr>
            <w:r>
              <w:t xml:space="preserve">Balanced panel (all 5 years)</w:t>
            </w:r>
          </w:p>
        </w:tc>
        <w:tc>
          <w:tcPr/>
          <w:p>
            <w:pPr>
              <w:pStyle w:val="Compact"/>
              <w:jc w:val="right"/>
            </w:pPr>
            <w:r>
              <w:t xml:space="preserve">25 / 162</w:t>
            </w:r>
          </w:p>
        </w:tc>
        <w:tc>
          <w:tcPr/>
          <w:p>
            <w:pPr>
              <w:pStyle w:val="Compact"/>
              <w:jc w:val="right"/>
            </w:pPr>
            <w:r>
              <w:t xml:space="preserve">−1.6</w:t>
            </w:r>
          </w:p>
        </w:tc>
        <w:tc>
          <w:tcPr/>
          <w:p>
            <w:pPr>
              <w:pStyle w:val="Compact"/>
              <w:jc w:val="right"/>
            </w:pPr>
            <w:r>
              <w:t xml:space="preserve">−5.6 to 1.6</w:t>
            </w:r>
          </w:p>
        </w:tc>
        <w:tc>
          <w:tcPr/>
          <w:p>
            <w:pPr>
              <w:pStyle w:val="Compact"/>
              <w:jc w:val="right"/>
            </w:pPr>
            <w:r>
              <w:t xml:space="preserve">.30</w:t>
            </w:r>
          </w:p>
        </w:tc>
      </w:tr>
      <w:tr>
        <w:tc>
          <w:tcPr/>
          <w:p>
            <w:pPr>
              <w:pStyle w:val="Compact"/>
              <w:jc w:val="left"/>
            </w:pPr>
            <w:r>
              <w:t xml:space="preserve">Propensity-weighted</w:t>
            </w:r>
          </w:p>
        </w:tc>
        <w:tc>
          <w:tcPr/>
          <w:p>
            <w:pPr>
              <w:pStyle w:val="Compact"/>
              <w:jc w:val="right"/>
            </w:pPr>
            <w:r>
              <w:t xml:space="preserve">305 total</w:t>
            </w:r>
          </w:p>
        </w:tc>
        <w:tc>
          <w:tcPr/>
          <w:p>
            <w:pPr>
              <w:pStyle w:val="Compact"/>
              <w:jc w:val="right"/>
            </w:pPr>
            <w:r>
              <w:t xml:space="preserve">−0.5</w:t>
            </w:r>
          </w:p>
        </w:tc>
        <w:tc>
          <w:tcPr/>
          <w:p>
            <w:pPr>
              <w:pStyle w:val="Compact"/>
              <w:jc w:val="right"/>
            </w:pPr>
            <w:r>
              <w:t xml:space="preserve">NA</w:t>
            </w:r>
          </w:p>
        </w:tc>
        <w:tc>
          <w:tcPr/>
          <w:p>
            <w:pPr>
              <w:pStyle w:val="Compact"/>
              <w:jc w:val="right"/>
            </w:pPr>
            <w:r>
              <w:t xml:space="preserve">.67</w:t>
            </w:r>
          </w:p>
        </w:tc>
      </w:tr>
      <w:tr>
        <w:tc>
          <w:tcPr/>
          <w:p>
            <w:pPr>
              <w:pStyle w:val="Compact"/>
              <w:jc w:val="left"/>
            </w:pPr>
            <w:r>
              <w:t xml:space="preserve">2020-01-01 cohort only</w:t>
            </w:r>
          </w:p>
        </w:tc>
        <w:tc>
          <w:tcPr/>
          <w:p>
            <w:pPr>
              <w:pStyle w:val="Compact"/>
              <w:jc w:val="right"/>
            </w:pPr>
            <w:r>
              <w:t xml:space="preserve">18 / 118</w:t>
            </w:r>
          </w:p>
        </w:tc>
        <w:tc>
          <w:tcPr/>
          <w:p>
            <w:pPr>
              <w:pStyle w:val="Compact"/>
              <w:jc w:val="right"/>
            </w:pPr>
            <w:r>
              <w:t xml:space="preserve">−2.9</w:t>
            </w:r>
          </w:p>
        </w:tc>
        <w:tc>
          <w:tcPr/>
          <w:p>
            <w:pPr>
              <w:pStyle w:val="Compact"/>
              <w:jc w:val="right"/>
            </w:pPr>
            <w:r>
              <w:t xml:space="preserve">−8.3 to 1.3</w:t>
            </w:r>
          </w:p>
        </w:tc>
        <w:tc>
          <w:tcPr/>
          <w:p>
            <w:pPr>
              <w:pStyle w:val="Compact"/>
              <w:jc w:val="right"/>
            </w:pPr>
            <w:r>
              <w:t xml:space="preserve">.13</w:t>
            </w:r>
          </w:p>
        </w:tc>
      </w:tr>
      <w:tr>
        <w:tc>
          <w:tcPr/>
          <w:p>
            <w:pPr>
              <w:pStyle w:val="Compact"/>
              <w:jc w:val="left"/>
            </w:pPr>
            <w:r>
              <w:t xml:space="preserve">Two-way fixed effects (conventional; 95% CI)</w:t>
            </w:r>
          </w:p>
        </w:tc>
        <w:tc>
          <w:tcPr/>
          <w:p>
            <w:pPr>
              <w:pStyle w:val="Compact"/>
              <w:jc w:val="right"/>
            </w:pPr>
            <w:r>
              <w:t xml:space="preserve">306 ACOs</w:t>
            </w:r>
          </w:p>
        </w:tc>
        <w:tc>
          <w:tcPr/>
          <w:p>
            <w:pPr>
              <w:pStyle w:val="Compact"/>
              <w:jc w:val="right"/>
            </w:pPr>
            <w:r>
              <w:t xml:space="preserve">−1.5</w:t>
            </w:r>
          </w:p>
        </w:tc>
        <w:tc>
          <w:tcPr/>
          <w:p>
            <w:pPr>
              <w:pStyle w:val="Compact"/>
              <w:jc w:val="right"/>
            </w:pPr>
            <w:r>
              <w:t xml:space="preserve">−5.4 to 2.4</w:t>
            </w:r>
          </w:p>
        </w:tc>
        <w:tc>
          <w:tcPr/>
          <w:p>
            <w:pPr>
              <w:pStyle w:val="Compact"/>
              <w:jc w:val="right"/>
            </w:pPr>
            <w:r>
              <w:t xml:space="preserve">.44</w:t>
            </w:r>
          </w:p>
        </w:tc>
      </w:tr>
    </w:tbl>
    <w:p>
      <w:pPr>
        <w:pStyle w:val="BodyText"/>
      </w:pPr>
      <w:r>
        <w:t xml:space="preserve">Abbreviations: CrI, credible interval; NA, not available (the propensity-weighted estimate has a permutation P value but no interval; its largest weight is 0.83); PY, performance year. The outcome is the change in log per-capita spending from PY2020-PY2021 to PY2022-PY2024, shown as a percent difference in spending growth, early renewers minus ACOs not yet renewed. A stayer’s years after it renewed into a 2023 or 2024 agreement are excluded. Equivalence condition: the pre-trend bound scaled to the distance between period midpoints (2.41 years) is 11.5 log points, above the absolute H4 estimate of 0.4 log points (1 log point = 0.01 in log spending, about 1%), so the condition does not hold and H4 is not read as an effect. The two-way fixed-effects model has one more ACO: the stayer with no post-period spending value keeps its pre-period years.</w:t>
      </w:r>
    </w:p>
    <w:p>
      <w:pPr>
        <w:pStyle w:val="TableCaption"/>
      </w:pPr>
      <w:r>
        <w:t xml:space="preserve">eTable 9. Attrition from the H4 spending panel, by group and year</w:t>
      </w:r>
    </w:p>
    <w:tbl>
      <w:tblPr>
        <w:tblStyle w:val="Table"/>
        <w:tblW w:type="pct" w:w="5000"/>
        <w:tblLayout w:type="fixed"/>
        <w:tblLook w:firstRow="1" w:lastRow="0" w:firstColumn="0" w:lastColumn="0" w:noHBand="0" w:noVBand="0" w:val="0020"/>
        <w:tblCaption w:val="eTable 9. Attrition from the H4 spending panel, by group and year"/>
      </w:tblPr>
      <w:tblGrid>
        <w:gridCol w:w="6240"/>
        <w:gridCol w:w="1040"/>
        <w:gridCol w:w="1040"/>
        <w:gridCol w:w="1040"/>
      </w:tblGrid>
      <w:tr>
        <w:trPr>
          <w:tblHeader w:val="on"/>
        </w:trPr>
        <w:tc>
          <w:tcPr/>
          <w:p>
            <w:pPr>
              <w:pStyle w:val="Compact"/>
              <w:jc w:val="left"/>
            </w:pPr>
            <w:r>
              <w:t xml:space="preserve">Group and status</w:t>
            </w:r>
          </w:p>
        </w:tc>
        <w:tc>
          <w:tcPr/>
          <w:p>
            <w:pPr>
              <w:pStyle w:val="Compact"/>
              <w:jc w:val="right"/>
            </w:pPr>
            <w:r>
              <w:t xml:space="preserve">PY2022</w:t>
            </w:r>
          </w:p>
        </w:tc>
        <w:tc>
          <w:tcPr/>
          <w:p>
            <w:pPr>
              <w:pStyle w:val="Compact"/>
              <w:jc w:val="right"/>
            </w:pPr>
            <w:r>
              <w:t xml:space="preserve">PY2023</w:t>
            </w:r>
          </w:p>
        </w:tc>
        <w:tc>
          <w:tcPr/>
          <w:p>
            <w:pPr>
              <w:pStyle w:val="Compact"/>
              <w:jc w:val="right"/>
            </w:pPr>
            <w:r>
              <w:t xml:space="preserve">PY2024</w:t>
            </w:r>
          </w:p>
        </w:tc>
      </w:tr>
      <w:tr>
        <w:tc>
          <w:tcPr/>
          <w:p>
            <w:pPr>
              <w:pStyle w:val="Compact"/>
              <w:jc w:val="left"/>
            </w:pPr>
            <w:r>
              <w:t xml:space="preserve">Early renewers (29): included</w:t>
            </w:r>
          </w:p>
        </w:tc>
        <w:tc>
          <w:tcPr/>
          <w:p>
            <w:pPr>
              <w:pStyle w:val="Compact"/>
              <w:jc w:val="right"/>
            </w:pPr>
            <w:r>
              <w:t xml:space="preserve">29</w:t>
            </w:r>
          </w:p>
        </w:tc>
        <w:tc>
          <w:tcPr/>
          <w:p>
            <w:pPr>
              <w:pStyle w:val="Compact"/>
              <w:jc w:val="right"/>
            </w:pPr>
            <w:r>
              <w:t xml:space="preserve">28</w:t>
            </w:r>
          </w:p>
        </w:tc>
        <w:tc>
          <w:tcPr/>
          <w:p>
            <w:pPr>
              <w:pStyle w:val="Compact"/>
              <w:jc w:val="right"/>
            </w:pPr>
            <w:r>
              <w:t xml:space="preserve">25</w:t>
            </w:r>
          </w:p>
        </w:tc>
      </w:tr>
      <w:tr>
        <w:tc>
          <w:tcPr/>
          <w:p>
            <w:pPr>
              <w:pStyle w:val="Compact"/>
              <w:jc w:val="left"/>
            </w:pPr>
            <w:r>
              <w:t xml:space="preserve">Early renewers (29): left the program</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Early renewers (29): renewed (no longer</w:t>
            </w:r>
            <w:r>
              <w:t xml:space="preserve"> </w:t>
            </w:r>
            <w:r>
              <w:t xml:space="preserve">‘not yet renewed’</w:t>
            </w:r>
            <w:r>
              <w:t xml:space="preserve">)</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r>
      <w:tr>
        <w:tc>
          <w:tcPr/>
          <w:p>
            <w:pPr>
              <w:pStyle w:val="Compact"/>
              <w:jc w:val="left"/>
            </w:pPr>
            <w:r>
              <w:t xml:space="preserve">Stayers (277): included</w:t>
            </w:r>
          </w:p>
        </w:tc>
        <w:tc>
          <w:tcPr/>
          <w:p>
            <w:pPr>
              <w:pStyle w:val="Compact"/>
              <w:jc w:val="right"/>
            </w:pPr>
            <w:r>
              <w:t xml:space="preserve">276</w:t>
            </w:r>
          </w:p>
        </w:tc>
        <w:tc>
          <w:tcPr/>
          <w:p>
            <w:pPr>
              <w:pStyle w:val="Compact"/>
              <w:jc w:val="right"/>
            </w:pPr>
            <w:r>
              <w:t xml:space="preserve">222</w:t>
            </w:r>
          </w:p>
        </w:tc>
        <w:tc>
          <w:tcPr/>
          <w:p>
            <w:pPr>
              <w:pStyle w:val="Compact"/>
              <w:jc w:val="right"/>
            </w:pPr>
            <w:r>
              <w:t xml:space="preserve">162</w:t>
            </w:r>
          </w:p>
        </w:tc>
      </w:tr>
      <w:tr>
        <w:tc>
          <w:tcPr/>
          <w:p>
            <w:pPr>
              <w:pStyle w:val="Compact"/>
              <w:jc w:val="left"/>
            </w:pPr>
            <w:r>
              <w:t xml:space="preserve">Stayers (277): left the program</w:t>
            </w:r>
          </w:p>
        </w:tc>
        <w:tc>
          <w:tcPr/>
          <w:p>
            <w:pPr>
              <w:pStyle w:val="Compact"/>
              <w:jc w:val="right"/>
            </w:pPr>
            <w:r>
              <w:t xml:space="preserve">0</w:t>
            </w:r>
          </w:p>
        </w:tc>
        <w:tc>
          <w:tcPr/>
          <w:p>
            <w:pPr>
              <w:pStyle w:val="Compact"/>
              <w:jc w:val="right"/>
            </w:pPr>
            <w:r>
              <w:t xml:space="preserve">46</w:t>
            </w:r>
          </w:p>
        </w:tc>
        <w:tc>
          <w:tcPr/>
          <w:p>
            <w:pPr>
              <w:pStyle w:val="Compact"/>
              <w:jc w:val="right"/>
            </w:pPr>
            <w:r>
              <w:t xml:space="preserve">72</w:t>
            </w:r>
          </w:p>
        </w:tc>
      </w:tr>
      <w:tr>
        <w:tc>
          <w:tcPr/>
          <w:p>
            <w:pPr>
              <w:pStyle w:val="Compact"/>
              <w:jc w:val="left"/>
            </w:pPr>
            <w:r>
              <w:t xml:space="preserve">Stayers (277): renewed (no longer</w:t>
            </w:r>
            <w:r>
              <w:t xml:space="preserve"> </w:t>
            </w:r>
            <w:r>
              <w:t xml:space="preserve">‘not yet renewed’</w:t>
            </w:r>
            <w:r>
              <w:t xml:space="preserve">)</w:t>
            </w:r>
          </w:p>
        </w:tc>
        <w:tc>
          <w:tcPr/>
          <w:p>
            <w:pPr>
              <w:pStyle w:val="Compact"/>
              <w:jc w:val="right"/>
            </w:pPr>
            <w:r>
              <w:t xml:space="preserve">0</w:t>
            </w:r>
          </w:p>
        </w:tc>
        <w:tc>
          <w:tcPr/>
          <w:p>
            <w:pPr>
              <w:pStyle w:val="Compact"/>
              <w:jc w:val="right"/>
            </w:pPr>
            <w:r>
              <w:t xml:space="preserve">8</w:t>
            </w:r>
          </w:p>
        </w:tc>
        <w:tc>
          <w:tcPr/>
          <w:p>
            <w:pPr>
              <w:pStyle w:val="Compact"/>
              <w:jc w:val="right"/>
            </w:pPr>
            <w:r>
              <w:t xml:space="preserve">42</w:t>
            </w:r>
          </w:p>
        </w:tc>
      </w:tr>
      <w:tr>
        <w:tc>
          <w:tcPr/>
          <w:p>
            <w:pPr>
              <w:pStyle w:val="Compact"/>
              <w:jc w:val="left"/>
            </w:pPr>
            <w:r>
              <w:t xml:space="preserve">Stayers (277): no spending value</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bl>
    <w:p>
      <w:pPr>
        <w:pStyle w:val="BodyText"/>
      </w:pPr>
      <w:r>
        <w:t xml:space="preserve">Required by the registered plan (section 4.5). PY2020 and PY2021 include all 29 early renewers and 277 stayers. Follow-up: a mean of 2.83 included post-period years per early renewer and 2.39 per comparison ACO (of 3).</w:t>
      </w:r>
    </w:p>
    <w:p>
      <w:pPr>
        <w:pStyle w:val="TableCaption"/>
      </w:pPr>
      <w:r>
        <w:t xml:space="preserve">eTable 10. Exploratory analyses</w:t>
      </w:r>
    </w:p>
    <w:tbl>
      <w:tblPr>
        <w:tblStyle w:val="Table"/>
        <w:tblW w:type="pct" w:w="5000"/>
        <w:tblLayout w:type="fixed"/>
        <w:tblLook w:firstRow="1" w:lastRow="0" w:firstColumn="0" w:lastColumn="0" w:noHBand="0" w:noVBand="0" w:val="0020"/>
        <w:tblCaption w:val="eTable 10. Exploratory analyses"/>
      </w:tblPr>
      <w:tblGrid>
        <w:gridCol w:w="6249"/>
        <w:gridCol w:w="1300"/>
        <w:gridCol w:w="1811"/>
      </w:tblGrid>
      <w:tr>
        <w:trPr>
          <w:tblHeader w:val="on"/>
        </w:trPr>
        <w:tc>
          <w:tcPr/>
          <w:p>
            <w:pPr>
              <w:pStyle w:val="Compact"/>
              <w:jc w:val="left"/>
            </w:pPr>
            <w:r>
              <w:t xml:space="preserve">Analysis</w:t>
            </w:r>
          </w:p>
        </w:tc>
        <w:tc>
          <w:tcPr/>
          <w:p>
            <w:pPr>
              <w:pStyle w:val="Compact"/>
              <w:jc w:val="right"/>
            </w:pPr>
            <w:r>
              <w:t xml:space="preserve">Estimate</w:t>
            </w:r>
          </w:p>
        </w:tc>
        <w:tc>
          <w:tcPr/>
          <w:p>
            <w:pPr>
              <w:pStyle w:val="Compact"/>
              <w:jc w:val="right"/>
            </w:pPr>
            <w:r>
              <w:t xml:space="preserve">95% CrI</w:t>
            </w:r>
          </w:p>
        </w:tc>
      </w:tr>
      <w:tr>
        <w:tc>
          <w:tcPr/>
          <w:p>
            <w:pPr>
              <w:pStyle w:val="Compact"/>
              <w:jc w:val="left"/>
            </w:pPr>
            <w:r>
              <w:rPr>
                <w:b/>
                <w:bCs/>
              </w:rPr>
              <w:t xml:space="preserve">H2b, early renewers minus stayers</w:t>
            </w:r>
            <w:r>
              <w:t xml:space="preserve"> </w:t>
            </w:r>
            <w:r>
              <w:t xml:space="preserve">(pp of benchmark)</w:t>
            </w:r>
          </w:p>
        </w:tc>
        <w:tc>
          <w:tcPr/>
          <w:p>
            <w:pPr>
              <w:pStyle w:val="Compact"/>
            </w:pPr>
          </w:p>
        </w:tc>
        <w:tc>
          <w:tcPr/>
          <w:p>
            <w:pPr>
              <w:pStyle w:val="Compact"/>
            </w:pPr>
          </w:p>
        </w:tc>
      </w:tr>
      <w:tr>
        <w:tc>
          <w:tcPr/>
          <w:p>
            <w:pPr>
              <w:pStyle w:val="Compact"/>
              <w:jc w:val="left"/>
            </w:pPr>
            <w:r>
              <w:t xml:space="preserve">    Regional pull (confirmatory)</w:t>
            </w:r>
          </w:p>
        </w:tc>
        <w:tc>
          <w:tcPr/>
          <w:p>
            <w:pPr>
              <w:pStyle w:val="Compact"/>
              <w:jc w:val="right"/>
            </w:pPr>
            <w:r>
              <w:t xml:space="preserve">+3.4</w:t>
            </w:r>
          </w:p>
        </w:tc>
        <w:tc>
          <w:tcPr/>
          <w:p>
            <w:pPr>
              <w:pStyle w:val="Compact"/>
              <w:jc w:val="right"/>
            </w:pPr>
            <w:r>
              <w:t xml:space="preserve">1.7 to 5.4</w:t>
            </w:r>
          </w:p>
        </w:tc>
      </w:tr>
      <w:tr>
        <w:tc>
          <w:tcPr/>
          <w:p>
            <w:pPr>
              <w:pStyle w:val="Compact"/>
              <w:jc w:val="left"/>
            </w:pPr>
            <w:r>
              <w:t xml:space="preserve">    Pull weighted by phase-in weight w</w:t>
            </w:r>
          </w:p>
        </w:tc>
        <w:tc>
          <w:tcPr/>
          <w:p>
            <w:pPr>
              <w:pStyle w:val="Compact"/>
              <w:jc w:val="right"/>
            </w:pPr>
            <w:r>
              <w:t xml:space="preserve">+1.6</w:t>
            </w:r>
          </w:p>
        </w:tc>
        <w:tc>
          <w:tcPr/>
          <w:p>
            <w:pPr>
              <w:pStyle w:val="Compact"/>
              <w:jc w:val="right"/>
            </w:pPr>
            <w:r>
              <w:t xml:space="preserve">0.7 to 2.6</w:t>
            </w:r>
          </w:p>
        </w:tc>
      </w:tr>
      <w:tr>
        <w:tc>
          <w:tcPr/>
          <w:p>
            <w:pPr>
              <w:pStyle w:val="Compact"/>
              <w:jc w:val="left"/>
            </w:pPr>
            <w:r>
              <w:t xml:space="preserve">    Capped regional component</w:t>
            </w:r>
          </w:p>
        </w:tc>
        <w:tc>
          <w:tcPr/>
          <w:p>
            <w:pPr>
              <w:pStyle w:val="Compact"/>
              <w:jc w:val="right"/>
            </w:pPr>
            <w:r>
              <w:t xml:space="preserve">+1.6</w:t>
            </w:r>
          </w:p>
        </w:tc>
        <w:tc>
          <w:tcPr/>
          <w:p>
            <w:pPr>
              <w:pStyle w:val="Compact"/>
              <w:jc w:val="right"/>
            </w:pPr>
            <w:r>
              <w:t xml:space="preserve">0.9 to 2.2</w:t>
            </w:r>
          </w:p>
        </w:tc>
      </w:tr>
      <w:tr>
        <w:tc>
          <w:tcPr/>
          <w:p>
            <w:pPr>
              <w:pStyle w:val="Compact"/>
              <w:jc w:val="left"/>
            </w:pPr>
            <w:r>
              <w:rPr>
                <w:b/>
                <w:bCs/>
              </w:rPr>
              <w:t xml:space="preserve">H3 coefficient on the pull measure</w:t>
            </w:r>
            <w:r>
              <w:t xml:space="preserve"> </w:t>
            </w:r>
            <w:r>
              <w:t xml:space="preserve">(log-odds)</w:t>
            </w:r>
          </w:p>
        </w:tc>
        <w:tc>
          <w:tcPr/>
          <w:p>
            <w:pPr>
              <w:pStyle w:val="Compact"/>
            </w:pPr>
          </w:p>
        </w:tc>
        <w:tc>
          <w:tcPr/>
          <w:p>
            <w:pPr>
              <w:pStyle w:val="Compact"/>
            </w:pPr>
          </w:p>
        </w:tc>
      </w:tr>
      <w:tr>
        <w:tc>
          <w:tcPr/>
          <w:p>
            <w:pPr>
              <w:pStyle w:val="Compact"/>
              <w:jc w:val="left"/>
            </w:pPr>
            <w:r>
              <w:t xml:space="preserve">    Regional pull (confirmatory)</w:t>
            </w:r>
          </w:p>
        </w:tc>
        <w:tc>
          <w:tcPr/>
          <w:p>
            <w:pPr>
              <w:pStyle w:val="Compact"/>
              <w:jc w:val="right"/>
            </w:pPr>
            <w:r>
              <w:t xml:space="preserve">+1.34</w:t>
            </w:r>
          </w:p>
        </w:tc>
        <w:tc>
          <w:tcPr/>
          <w:p>
            <w:pPr>
              <w:pStyle w:val="Compact"/>
              <w:jc w:val="right"/>
            </w:pPr>
            <w:r>
              <w:t xml:space="preserve">0.44 to 2.30</w:t>
            </w:r>
          </w:p>
        </w:tc>
      </w:tr>
      <w:tr>
        <w:tc>
          <w:tcPr/>
          <w:p>
            <w:pPr>
              <w:pStyle w:val="Compact"/>
              <w:jc w:val="left"/>
            </w:pPr>
            <w:r>
              <w:t xml:space="preserve">    Pull weighted by phase-in weight w</w:t>
            </w:r>
          </w:p>
        </w:tc>
        <w:tc>
          <w:tcPr/>
          <w:p>
            <w:pPr>
              <w:pStyle w:val="Compact"/>
              <w:jc w:val="right"/>
            </w:pPr>
            <w:r>
              <w:t xml:space="preserve">+1.20</w:t>
            </w:r>
          </w:p>
        </w:tc>
        <w:tc>
          <w:tcPr/>
          <w:p>
            <w:pPr>
              <w:pStyle w:val="Compact"/>
              <w:jc w:val="right"/>
            </w:pPr>
            <w:r>
              <w:t xml:space="preserve">0.40 to 2.04</w:t>
            </w:r>
          </w:p>
        </w:tc>
      </w:tr>
      <w:tr>
        <w:tc>
          <w:tcPr/>
          <w:p>
            <w:pPr>
              <w:pStyle w:val="Compact"/>
              <w:jc w:val="left"/>
            </w:pPr>
            <w:r>
              <w:t xml:space="preserve">    Capped regional component</w:t>
            </w:r>
          </w:p>
        </w:tc>
        <w:tc>
          <w:tcPr/>
          <w:p>
            <w:pPr>
              <w:pStyle w:val="Compact"/>
              <w:jc w:val="right"/>
            </w:pPr>
            <w:r>
              <w:t xml:space="preserve">+1.49</w:t>
            </w:r>
          </w:p>
        </w:tc>
        <w:tc>
          <w:tcPr/>
          <w:p>
            <w:pPr>
              <w:pStyle w:val="Compact"/>
              <w:jc w:val="right"/>
            </w:pPr>
            <w:r>
              <w:t xml:space="preserve">0.57 to 2.45</w:t>
            </w:r>
          </w:p>
        </w:tc>
      </w:tr>
      <w:tr>
        <w:tc>
          <w:tcPr/>
          <w:p>
            <w:pPr>
              <w:pStyle w:val="Compact"/>
              <w:jc w:val="left"/>
            </w:pPr>
            <w:r>
              <w:t xml:space="preserve">    Census region added</w:t>
            </w:r>
          </w:p>
        </w:tc>
        <w:tc>
          <w:tcPr/>
          <w:p>
            <w:pPr>
              <w:pStyle w:val="Compact"/>
              <w:jc w:val="right"/>
            </w:pPr>
            <w:r>
              <w:t xml:space="preserve">+1.43</w:t>
            </w:r>
          </w:p>
        </w:tc>
        <w:tc>
          <w:tcPr/>
          <w:p>
            <w:pPr>
              <w:pStyle w:val="Compact"/>
              <w:jc w:val="right"/>
            </w:pPr>
            <w:r>
              <w:t xml:space="preserve">0.46 to 2.41</w:t>
            </w:r>
          </w:p>
        </w:tc>
      </w:tr>
      <w:tr>
        <w:tc>
          <w:tcPr/>
          <w:p>
            <w:pPr>
              <w:pStyle w:val="Compact"/>
              <w:jc w:val="left"/>
            </w:pPr>
            <w:r>
              <w:rPr>
                <w:b/>
                <w:bCs/>
              </w:rPr>
              <w:t xml:space="preserve">Census region in H3</w:t>
            </w:r>
            <w:r>
              <w:t xml:space="preserve"> </w:t>
            </w:r>
            <w:r>
              <w:t xml:space="preserve">(log-odds vs Northeast)</w:t>
            </w:r>
          </w:p>
        </w:tc>
        <w:tc>
          <w:tcPr/>
          <w:p>
            <w:pPr>
              <w:pStyle w:val="Compact"/>
            </w:pPr>
          </w:p>
        </w:tc>
        <w:tc>
          <w:tcPr/>
          <w:p>
            <w:pPr>
              <w:pStyle w:val="Compact"/>
            </w:pPr>
          </w:p>
        </w:tc>
      </w:tr>
      <w:tr>
        <w:tc>
          <w:tcPr/>
          <w:p>
            <w:pPr>
              <w:pStyle w:val="Compact"/>
              <w:jc w:val="left"/>
            </w:pPr>
            <w:r>
              <w:t xml:space="preserve">    Midwest vs Northeast</w:t>
            </w:r>
          </w:p>
        </w:tc>
        <w:tc>
          <w:tcPr/>
          <w:p>
            <w:pPr>
              <w:pStyle w:val="Compact"/>
              <w:jc w:val="right"/>
            </w:pPr>
            <w:r>
              <w:t xml:space="preserve">+0.35</w:t>
            </w:r>
          </w:p>
        </w:tc>
        <w:tc>
          <w:tcPr/>
          <w:p>
            <w:pPr>
              <w:pStyle w:val="Compact"/>
              <w:jc w:val="right"/>
            </w:pPr>
            <w:r>
              <w:t xml:space="preserve">−0.85 to 1.50</w:t>
            </w:r>
          </w:p>
        </w:tc>
      </w:tr>
      <w:tr>
        <w:tc>
          <w:tcPr/>
          <w:p>
            <w:pPr>
              <w:pStyle w:val="Compact"/>
              <w:jc w:val="left"/>
            </w:pPr>
            <w:r>
              <w:t xml:space="preserve">    South vs Northeast</w:t>
            </w:r>
          </w:p>
        </w:tc>
        <w:tc>
          <w:tcPr/>
          <w:p>
            <w:pPr>
              <w:pStyle w:val="Compact"/>
              <w:jc w:val="right"/>
            </w:pPr>
            <w:r>
              <w:t xml:space="preserve">−0.12</w:t>
            </w:r>
          </w:p>
        </w:tc>
        <w:tc>
          <w:tcPr/>
          <w:p>
            <w:pPr>
              <w:pStyle w:val="Compact"/>
              <w:jc w:val="right"/>
            </w:pPr>
            <w:r>
              <w:t xml:space="preserve">−1.12 to 0.89</w:t>
            </w:r>
          </w:p>
        </w:tc>
      </w:tr>
      <w:tr>
        <w:tc>
          <w:tcPr/>
          <w:p>
            <w:pPr>
              <w:pStyle w:val="Compact"/>
              <w:jc w:val="left"/>
            </w:pPr>
            <w:r>
              <w:t xml:space="preserve">    West vs Northeast</w:t>
            </w:r>
          </w:p>
        </w:tc>
        <w:tc>
          <w:tcPr/>
          <w:p>
            <w:pPr>
              <w:pStyle w:val="Compact"/>
              <w:jc w:val="right"/>
            </w:pPr>
            <w:r>
              <w:t xml:space="preserve">+0.09</w:t>
            </w:r>
          </w:p>
        </w:tc>
        <w:tc>
          <w:tcPr/>
          <w:p>
            <w:pPr>
              <w:pStyle w:val="Compact"/>
              <w:jc w:val="right"/>
            </w:pPr>
            <w:r>
              <w:t xml:space="preserve">−1.21 to 1.38</w:t>
            </w:r>
          </w:p>
        </w:tc>
      </w:tr>
    </w:tbl>
    <w:p>
      <w:pPr>
        <w:pStyle w:val="BodyText"/>
      </w:pPr>
      <w:r>
        <w:t xml:space="preserve">Labeled exploratory in the registered plan (section 5.6): no predictions and no verdicts. 2 of the 334 ACOs have no census region; the region model’s sample is 206 ACOs (24 early renewers), as in H3.</w:t>
      </w:r>
    </w:p>
    <w:p>
      <w:pPr>
        <w:pStyle w:val="TableCaption"/>
      </w:pPr>
      <w:r>
        <w:t xml:space="preserve">eTable 11. The 2 early renewers already in ENHANCED</w:t>
      </w:r>
    </w:p>
    <w:tbl>
      <w:tblPr>
        <w:tblStyle w:val="Table"/>
        <w:tblW w:type="pct" w:w="5000"/>
        <w:tblLayout w:type="fixed"/>
        <w:tblLook w:firstRow="1" w:lastRow="0" w:firstColumn="0" w:lastColumn="0" w:noHBand="0" w:noVBand="0" w:val="0020"/>
        <w:tblCaption w:val="eTable 11. The 2 early renewers already in ENHANCED"/>
      </w:tblPr>
      <w:tblGrid>
        <w:gridCol w:w="3467"/>
        <w:gridCol w:w="2947"/>
        <w:gridCol w:w="2946"/>
      </w:tblGrid>
      <w:tr>
        <w:trPr>
          <w:tblHeader w:val="on"/>
        </w:trPr>
        <w:tc>
          <w:tcPr/>
          <w:p>
            <w:pPr>
              <w:pStyle w:val="Compact"/>
              <w:jc w:val="left"/>
            </w:pPr>
            <w:r>
              <w:t xml:space="preserve">Variable</w:t>
            </w:r>
          </w:p>
        </w:tc>
        <w:tc>
          <w:tcPr/>
          <w:p>
            <w:pPr>
              <w:pStyle w:val="Compact"/>
              <w:jc w:val="right"/>
            </w:pPr>
            <w:r>
              <w:t xml:space="preserve">ACO 1 (2020-01 cohort)</w:t>
            </w:r>
          </w:p>
        </w:tc>
        <w:tc>
          <w:tcPr/>
          <w:p>
            <w:pPr>
              <w:pStyle w:val="Compact"/>
              <w:jc w:val="right"/>
            </w:pPr>
            <w:r>
              <w:t xml:space="preserve">ACO 2 (2019-07 cohort)</w:t>
            </w:r>
          </w:p>
        </w:tc>
      </w:tr>
      <w:tr>
        <w:tc>
          <w:tcPr/>
          <w:p>
            <w:pPr>
              <w:pStyle w:val="Compact"/>
              <w:jc w:val="left"/>
            </w:pPr>
            <w:r>
              <w:t xml:space="preserve">Savings rate, PY2020, pp</w:t>
            </w:r>
          </w:p>
        </w:tc>
        <w:tc>
          <w:tcPr/>
          <w:p>
            <w:pPr>
              <w:pStyle w:val="Compact"/>
              <w:jc w:val="right"/>
            </w:pPr>
            <w:r>
              <w:t xml:space="preserve">3.4 (38)</w:t>
            </w:r>
          </w:p>
        </w:tc>
        <w:tc>
          <w:tcPr/>
          <w:p>
            <w:pPr>
              <w:pStyle w:val="Compact"/>
              <w:jc w:val="right"/>
            </w:pPr>
            <w:r>
              <w:t xml:space="preserve">5.6 (65)</w:t>
            </w:r>
          </w:p>
        </w:tc>
      </w:tr>
      <w:tr>
        <w:tc>
          <w:tcPr/>
          <w:p>
            <w:pPr>
              <w:pStyle w:val="Compact"/>
              <w:jc w:val="left"/>
            </w:pPr>
            <w:r>
              <w:t xml:space="preserve">Regional pull, pp</w:t>
            </w:r>
          </w:p>
        </w:tc>
        <w:tc>
          <w:tcPr/>
          <w:p>
            <w:pPr>
              <w:pStyle w:val="Compact"/>
              <w:jc w:val="right"/>
            </w:pPr>
            <w:r>
              <w:t xml:space="preserve">0.0 (26)</w:t>
            </w:r>
          </w:p>
        </w:tc>
        <w:tc>
          <w:tcPr/>
          <w:p>
            <w:pPr>
              <w:pStyle w:val="Compact"/>
              <w:jc w:val="right"/>
            </w:pPr>
            <w:r>
              <w:t xml:space="preserve">+2.3 (61)</w:t>
            </w:r>
          </w:p>
        </w:tc>
      </w:tr>
      <w:tr>
        <w:tc>
          <w:tcPr/>
          <w:p>
            <w:pPr>
              <w:pStyle w:val="Compact"/>
              <w:jc w:val="left"/>
            </w:pPr>
            <w:r>
              <w:t xml:space="preserve">Own-spending component, pp</w:t>
            </w:r>
          </w:p>
        </w:tc>
        <w:tc>
          <w:tcPr/>
          <w:p>
            <w:pPr>
              <w:pStyle w:val="Compact"/>
              <w:jc w:val="right"/>
            </w:pPr>
            <w:r>
              <w:t xml:space="preserve">−3.8 (41)</w:t>
            </w:r>
          </w:p>
        </w:tc>
        <w:tc>
          <w:tcPr/>
          <w:p>
            <w:pPr>
              <w:pStyle w:val="Compact"/>
              <w:jc w:val="right"/>
            </w:pPr>
            <w:r>
              <w:t xml:space="preserve">−4.7 (29)</w:t>
            </w:r>
          </w:p>
        </w:tc>
      </w:tr>
      <w:tr>
        <w:tc>
          <w:tcPr/>
          <w:p>
            <w:pPr>
              <w:pStyle w:val="Compact"/>
              <w:jc w:val="left"/>
            </w:pPr>
            <w:r>
              <w:t xml:space="preserve">Regional component, pp</w:t>
            </w:r>
          </w:p>
        </w:tc>
        <w:tc>
          <w:tcPr/>
          <w:p>
            <w:pPr>
              <w:pStyle w:val="Compact"/>
              <w:jc w:val="right"/>
            </w:pPr>
            <w:r>
              <w:t xml:space="preserve">+1.9 (44)</w:t>
            </w:r>
          </w:p>
        </w:tc>
        <w:tc>
          <w:tcPr/>
          <w:p>
            <w:pPr>
              <w:pStyle w:val="Compact"/>
              <w:jc w:val="right"/>
            </w:pPr>
            <w:r>
              <w:t xml:space="preserve">+3.0 (68)</w:t>
            </w:r>
          </w:p>
        </w:tc>
      </w:tr>
    </w:tbl>
    <w:p>
      <w:pPr>
        <w:pStyle w:val="BodyText"/>
      </w:pPr>
      <w:r>
        <w:t xml:space="preserve">The 2 early renewers already in ENHANCED in PY2021, for whom renewal could not raise the sharing rate, reported individually against the stayer distribution as the plan requires (section 5.6). Values with the stayers’ percentile in parentheses. Exploratory; no test.</w:t>
      </w:r>
    </w:p>
    <w:p>
      <w:pPr>
        <w:pStyle w:val="TableCaption"/>
      </w:pPr>
      <w:r>
        <w:t xml:space="preserve">eTable 12. Per-capita spending by agreement year</w:t>
      </w:r>
    </w:p>
    <w:tbl>
      <w:tblPr>
        <w:tblStyle w:val="Table"/>
        <w:tblW w:type="pct" w:w="5000"/>
        <w:tblLayout w:type="fixed"/>
        <w:tblLook w:firstRow="1" w:lastRow="0" w:firstColumn="0" w:lastColumn="0" w:noHBand="0" w:noVBand="0" w:val="0020"/>
        <w:tblCaption w:val="eTable 12. Per-capita spending by agreement year"/>
      </w:tblPr>
      <w:tblGrid>
        <w:gridCol w:w="1629"/>
        <w:gridCol w:w="1596"/>
        <w:gridCol w:w="1930"/>
        <w:gridCol w:w="1499"/>
        <w:gridCol w:w="1043"/>
        <w:gridCol w:w="1663"/>
      </w:tblGrid>
      <w:tr>
        <w:trPr>
          <w:tblHeader w:val="on"/>
        </w:trPr>
        <w:tc>
          <w:tcPr/>
          <w:p>
            <w:pPr>
              <w:pStyle w:val="Compact"/>
              <w:jc w:val="right"/>
            </w:pPr>
            <w:r>
              <w:t xml:space="preserve">Agreement start</w:t>
            </w:r>
          </w:p>
        </w:tc>
        <w:tc>
          <w:tcPr/>
          <w:p>
            <w:pPr>
              <w:pStyle w:val="Compact"/>
              <w:jc w:val="right"/>
            </w:pPr>
            <w:r>
              <w:t xml:space="preserve">Agreement year</w:t>
            </w:r>
          </w:p>
        </w:tc>
        <w:tc>
          <w:tcPr/>
          <w:p>
            <w:pPr>
              <w:pStyle w:val="Compact"/>
              <w:jc w:val="left"/>
            </w:pPr>
            <w:r>
              <w:t xml:space="preserve">Scheduled benchmark year</w:t>
            </w:r>
          </w:p>
        </w:tc>
        <w:tc>
          <w:tcPr/>
          <w:p>
            <w:pPr>
              <w:pStyle w:val="Compact"/>
              <w:jc w:val="left"/>
            </w:pPr>
            <w:r>
              <w:t xml:space="preserve">Group</w:t>
            </w:r>
          </w:p>
        </w:tc>
        <w:tc>
          <w:tcPr/>
          <w:p>
            <w:pPr>
              <w:pStyle w:val="Compact"/>
              <w:jc w:val="right"/>
            </w:pPr>
            <w:r>
              <w:t xml:space="preserve">ACOs, No.</w:t>
            </w:r>
          </w:p>
        </w:tc>
        <w:tc>
          <w:tcPr/>
          <w:p>
            <w:pPr>
              <w:pStyle w:val="Compact"/>
              <w:jc w:val="right"/>
            </w:pPr>
            <w:r>
              <w:t xml:space="preserve">Mean spending, $</w:t>
            </w:r>
          </w:p>
        </w:tc>
      </w:tr>
      <w:tr>
        <w:tc>
          <w:tcPr/>
          <w:p>
            <w:pPr>
              <w:pStyle w:val="Compact"/>
              <w:jc w:val="right"/>
            </w:pPr>
            <w:r>
              <w:t xml:space="preserve">2020</w:t>
            </w:r>
          </w:p>
        </w:tc>
        <w:tc>
          <w:tcPr/>
          <w:p>
            <w:pPr>
              <w:pStyle w:val="Compact"/>
              <w:jc w:val="right"/>
            </w:pPr>
            <w:r>
              <w:t xml:space="preserve">1</w:t>
            </w:r>
          </w:p>
        </w:tc>
        <w:tc>
          <w:tcPr/>
          <w:p>
            <w:pPr>
              <w:pStyle w:val="Compact"/>
              <w:jc w:val="left"/>
            </w:pPr>
            <w:r>
              <w:t xml:space="preserve">No</w:t>
            </w:r>
          </w:p>
        </w:tc>
        <w:tc>
          <w:tcPr/>
          <w:p>
            <w:pPr>
              <w:pStyle w:val="Compact"/>
              <w:jc w:val="left"/>
            </w:pPr>
            <w:r>
              <w:t xml:space="preserve">Other ACOs</w:t>
            </w:r>
          </w:p>
        </w:tc>
        <w:tc>
          <w:tcPr/>
          <w:p>
            <w:pPr>
              <w:pStyle w:val="Compact"/>
              <w:jc w:val="right"/>
            </w:pPr>
            <w:r>
              <w:t xml:space="preserve">135</w:t>
            </w:r>
          </w:p>
        </w:tc>
        <w:tc>
          <w:tcPr/>
          <w:p>
            <w:pPr>
              <w:pStyle w:val="Compact"/>
              <w:jc w:val="right"/>
            </w:pPr>
            <w:r>
              <w:t xml:space="preserve">10,609</w:t>
            </w:r>
          </w:p>
        </w:tc>
      </w:tr>
      <w:tr>
        <w:tc>
          <w:tcPr/>
          <w:p>
            <w:pPr>
              <w:pStyle w:val="Compact"/>
              <w:jc w:val="right"/>
            </w:pPr>
            <w:r>
              <w:t xml:space="preserve">2020</w:t>
            </w:r>
          </w:p>
        </w:tc>
        <w:tc>
          <w:tcPr/>
          <w:p>
            <w:pPr>
              <w:pStyle w:val="Compact"/>
              <w:jc w:val="right"/>
            </w:pPr>
            <w:r>
              <w:t xml:space="preserve">1</w:t>
            </w:r>
          </w:p>
        </w:tc>
        <w:tc>
          <w:tcPr/>
          <w:p>
            <w:pPr>
              <w:pStyle w:val="Compact"/>
              <w:jc w:val="left"/>
            </w:pPr>
            <w:r>
              <w:t xml:space="preserve">No</w:t>
            </w:r>
          </w:p>
        </w:tc>
        <w:tc>
          <w:tcPr/>
          <w:p>
            <w:pPr>
              <w:pStyle w:val="Compact"/>
              <w:jc w:val="left"/>
            </w:pPr>
            <w:r>
              <w:t xml:space="preserve">Early renewers</w:t>
            </w:r>
          </w:p>
        </w:tc>
        <w:tc>
          <w:tcPr/>
          <w:p>
            <w:pPr>
              <w:pStyle w:val="Compact"/>
              <w:jc w:val="right"/>
            </w:pPr>
            <w:r>
              <w:t xml:space="preserve">18</w:t>
            </w:r>
          </w:p>
        </w:tc>
        <w:tc>
          <w:tcPr/>
          <w:p>
            <w:pPr>
              <w:pStyle w:val="Compact"/>
              <w:jc w:val="right"/>
            </w:pPr>
            <w:r>
              <w:t xml:space="preserve">9,898</w:t>
            </w:r>
          </w:p>
        </w:tc>
      </w:tr>
      <w:tr>
        <w:tc>
          <w:tcPr/>
          <w:p>
            <w:pPr>
              <w:pStyle w:val="Compact"/>
              <w:jc w:val="right"/>
            </w:pPr>
            <w:r>
              <w:t xml:space="preserve">2020</w:t>
            </w:r>
          </w:p>
        </w:tc>
        <w:tc>
          <w:tcPr/>
          <w:p>
            <w:pPr>
              <w:pStyle w:val="Compact"/>
              <w:jc w:val="right"/>
            </w:pPr>
            <w:r>
              <w:t xml:space="preserve">2</w:t>
            </w:r>
          </w:p>
        </w:tc>
        <w:tc>
          <w:tcPr/>
          <w:p>
            <w:pPr>
              <w:pStyle w:val="Compact"/>
              <w:jc w:val="left"/>
            </w:pPr>
            <w:r>
              <w:t xml:space="preserve">No</w:t>
            </w:r>
          </w:p>
        </w:tc>
        <w:tc>
          <w:tcPr/>
          <w:p>
            <w:pPr>
              <w:pStyle w:val="Compact"/>
              <w:jc w:val="left"/>
            </w:pPr>
            <w:r>
              <w:t xml:space="preserve">Other ACOs</w:t>
            </w:r>
          </w:p>
        </w:tc>
        <w:tc>
          <w:tcPr/>
          <w:p>
            <w:pPr>
              <w:pStyle w:val="Compact"/>
              <w:jc w:val="right"/>
            </w:pPr>
            <w:r>
              <w:t xml:space="preserve">127</w:t>
            </w:r>
          </w:p>
        </w:tc>
        <w:tc>
          <w:tcPr/>
          <w:p>
            <w:pPr>
              <w:pStyle w:val="Compact"/>
              <w:jc w:val="right"/>
            </w:pPr>
            <w:r>
              <w:t xml:space="preserve">11,430</w:t>
            </w:r>
          </w:p>
        </w:tc>
      </w:tr>
      <w:tr>
        <w:tc>
          <w:tcPr/>
          <w:p>
            <w:pPr>
              <w:pStyle w:val="Compact"/>
              <w:jc w:val="right"/>
            </w:pPr>
            <w:r>
              <w:t xml:space="preserve">2020</w:t>
            </w:r>
          </w:p>
        </w:tc>
        <w:tc>
          <w:tcPr/>
          <w:p>
            <w:pPr>
              <w:pStyle w:val="Compact"/>
              <w:jc w:val="right"/>
            </w:pPr>
            <w:r>
              <w:t xml:space="preserve">2</w:t>
            </w:r>
          </w:p>
        </w:tc>
        <w:tc>
          <w:tcPr/>
          <w:p>
            <w:pPr>
              <w:pStyle w:val="Compact"/>
              <w:jc w:val="left"/>
            </w:pPr>
            <w:r>
              <w:t xml:space="preserve">No</w:t>
            </w:r>
          </w:p>
        </w:tc>
        <w:tc>
          <w:tcPr/>
          <w:p>
            <w:pPr>
              <w:pStyle w:val="Compact"/>
              <w:jc w:val="left"/>
            </w:pPr>
            <w:r>
              <w:t xml:space="preserve">Early renewers</w:t>
            </w:r>
          </w:p>
        </w:tc>
        <w:tc>
          <w:tcPr/>
          <w:p>
            <w:pPr>
              <w:pStyle w:val="Compact"/>
              <w:jc w:val="right"/>
            </w:pPr>
            <w:r>
              <w:t xml:space="preserve">18</w:t>
            </w:r>
          </w:p>
        </w:tc>
        <w:tc>
          <w:tcPr/>
          <w:p>
            <w:pPr>
              <w:pStyle w:val="Compact"/>
              <w:jc w:val="right"/>
            </w:pPr>
            <w:r>
              <w:t xml:space="preserve">10,880</w:t>
            </w:r>
          </w:p>
        </w:tc>
      </w:tr>
      <w:tr>
        <w:tc>
          <w:tcPr/>
          <w:p>
            <w:pPr>
              <w:pStyle w:val="Compact"/>
              <w:jc w:val="right"/>
            </w:pPr>
            <w:r>
              <w:t xml:space="preserve">2020</w:t>
            </w:r>
          </w:p>
        </w:tc>
        <w:tc>
          <w:tcPr/>
          <w:p>
            <w:pPr>
              <w:pStyle w:val="Compact"/>
              <w:jc w:val="right"/>
            </w:pPr>
            <w:r>
              <w:t xml:space="preserve">3</w:t>
            </w:r>
          </w:p>
        </w:tc>
        <w:tc>
          <w:tcPr/>
          <w:p>
            <w:pPr>
              <w:pStyle w:val="Compact"/>
              <w:jc w:val="left"/>
            </w:pPr>
            <w:r>
              <w:t xml:space="preserve">Yes</w:t>
            </w:r>
          </w:p>
        </w:tc>
        <w:tc>
          <w:tcPr/>
          <w:p>
            <w:pPr>
              <w:pStyle w:val="Compact"/>
              <w:jc w:val="left"/>
            </w:pPr>
            <w:r>
              <w:t xml:space="preserve">Other ACOs</w:t>
            </w:r>
          </w:p>
        </w:tc>
        <w:tc>
          <w:tcPr/>
          <w:p>
            <w:pPr>
              <w:pStyle w:val="Compact"/>
              <w:jc w:val="right"/>
            </w:pPr>
            <w:r>
              <w:t xml:space="preserve">118</w:t>
            </w:r>
          </w:p>
        </w:tc>
        <w:tc>
          <w:tcPr/>
          <w:p>
            <w:pPr>
              <w:pStyle w:val="Compact"/>
              <w:jc w:val="right"/>
            </w:pPr>
            <w:r>
              <w:t xml:space="preserve">11,860</w:t>
            </w:r>
          </w:p>
        </w:tc>
      </w:tr>
      <w:tr>
        <w:tc>
          <w:tcPr/>
          <w:p>
            <w:pPr>
              <w:pStyle w:val="Compact"/>
              <w:jc w:val="right"/>
            </w:pPr>
            <w:r>
              <w:t xml:space="preserve">2020</w:t>
            </w:r>
          </w:p>
        </w:tc>
        <w:tc>
          <w:tcPr/>
          <w:p>
            <w:pPr>
              <w:pStyle w:val="Compact"/>
              <w:jc w:val="right"/>
            </w:pPr>
            <w:r>
              <w:t xml:space="preserve">4</w:t>
            </w:r>
          </w:p>
        </w:tc>
        <w:tc>
          <w:tcPr/>
          <w:p>
            <w:pPr>
              <w:pStyle w:val="Compact"/>
              <w:jc w:val="left"/>
            </w:pPr>
            <w:r>
              <w:t xml:space="preserve">Yes</w:t>
            </w:r>
          </w:p>
        </w:tc>
        <w:tc>
          <w:tcPr/>
          <w:p>
            <w:pPr>
              <w:pStyle w:val="Compact"/>
              <w:jc w:val="left"/>
            </w:pPr>
            <w:r>
              <w:t xml:space="preserve">Other ACOs</w:t>
            </w:r>
          </w:p>
        </w:tc>
        <w:tc>
          <w:tcPr/>
          <w:p>
            <w:pPr>
              <w:pStyle w:val="Compact"/>
              <w:jc w:val="right"/>
            </w:pPr>
            <w:r>
              <w:t xml:space="preserve">96</w:t>
            </w:r>
          </w:p>
        </w:tc>
        <w:tc>
          <w:tcPr/>
          <w:p>
            <w:pPr>
              <w:pStyle w:val="Compact"/>
              <w:jc w:val="right"/>
            </w:pPr>
            <w:r>
              <w:t xml:space="preserve">12,450</w:t>
            </w:r>
          </w:p>
        </w:tc>
      </w:tr>
      <w:tr>
        <w:tc>
          <w:tcPr/>
          <w:p>
            <w:pPr>
              <w:pStyle w:val="Compact"/>
              <w:jc w:val="right"/>
            </w:pPr>
            <w:r>
              <w:t xml:space="preserve">2020</w:t>
            </w:r>
          </w:p>
        </w:tc>
        <w:tc>
          <w:tcPr/>
          <w:p>
            <w:pPr>
              <w:pStyle w:val="Compact"/>
              <w:jc w:val="right"/>
            </w:pPr>
            <w:r>
              <w:t xml:space="preserve">5</w:t>
            </w:r>
          </w:p>
        </w:tc>
        <w:tc>
          <w:tcPr/>
          <w:p>
            <w:pPr>
              <w:pStyle w:val="Compact"/>
              <w:jc w:val="left"/>
            </w:pPr>
            <w:r>
              <w:t xml:space="preserve">Yes</w:t>
            </w:r>
          </w:p>
        </w:tc>
        <w:tc>
          <w:tcPr/>
          <w:p>
            <w:pPr>
              <w:pStyle w:val="Compact"/>
              <w:jc w:val="left"/>
            </w:pPr>
            <w:r>
              <w:t xml:space="preserve">Other ACOs</w:t>
            </w:r>
          </w:p>
        </w:tc>
        <w:tc>
          <w:tcPr/>
          <w:p>
            <w:pPr>
              <w:pStyle w:val="Compact"/>
              <w:jc w:val="right"/>
            </w:pPr>
            <w:r>
              <w:t xml:space="preserve">73</w:t>
            </w:r>
          </w:p>
        </w:tc>
        <w:tc>
          <w:tcPr/>
          <w:p>
            <w:pPr>
              <w:pStyle w:val="Compact"/>
              <w:jc w:val="right"/>
            </w:pPr>
            <w:r>
              <w:t xml:space="preserve">13,206</w:t>
            </w:r>
          </w:p>
        </w:tc>
      </w:tr>
      <w:tr>
        <w:tc>
          <w:tcPr/>
          <w:p>
            <w:pPr>
              <w:pStyle w:val="Compact"/>
              <w:jc w:val="right"/>
            </w:pPr>
            <w:r>
              <w:t xml:space="preserve">2022</w:t>
            </w:r>
          </w:p>
        </w:tc>
        <w:tc>
          <w:tcPr/>
          <w:p>
            <w:pPr>
              <w:pStyle w:val="Compact"/>
              <w:jc w:val="right"/>
            </w:pPr>
            <w:r>
              <w:t xml:space="preserve">1</w:t>
            </w:r>
          </w:p>
        </w:tc>
        <w:tc>
          <w:tcPr/>
          <w:p>
            <w:pPr>
              <w:pStyle w:val="Compact"/>
              <w:jc w:val="left"/>
            </w:pPr>
            <w:r>
              <w:t xml:space="preserve">No</w:t>
            </w:r>
          </w:p>
        </w:tc>
        <w:tc>
          <w:tcPr/>
          <w:p>
            <w:pPr>
              <w:pStyle w:val="Compact"/>
              <w:jc w:val="left"/>
            </w:pPr>
            <w:r>
              <w:t xml:space="preserve">Other ACOs</w:t>
            </w:r>
          </w:p>
        </w:tc>
        <w:tc>
          <w:tcPr/>
          <w:p>
            <w:pPr>
              <w:pStyle w:val="Compact"/>
              <w:jc w:val="right"/>
            </w:pPr>
            <w:r>
              <w:t xml:space="preserve">188</w:t>
            </w:r>
          </w:p>
        </w:tc>
        <w:tc>
          <w:tcPr/>
          <w:p>
            <w:pPr>
              <w:pStyle w:val="Compact"/>
              <w:jc w:val="right"/>
            </w:pPr>
            <w:r>
              <w:t xml:space="preserve">11,288</w:t>
            </w:r>
          </w:p>
        </w:tc>
      </w:tr>
      <w:tr>
        <w:tc>
          <w:tcPr/>
          <w:p>
            <w:pPr>
              <w:pStyle w:val="Compact"/>
              <w:jc w:val="right"/>
            </w:pPr>
            <w:r>
              <w:t xml:space="preserve">2022</w:t>
            </w:r>
          </w:p>
        </w:tc>
        <w:tc>
          <w:tcPr/>
          <w:p>
            <w:pPr>
              <w:pStyle w:val="Compact"/>
              <w:jc w:val="right"/>
            </w:pPr>
            <w:r>
              <w:t xml:space="preserve">1</w:t>
            </w:r>
          </w:p>
        </w:tc>
        <w:tc>
          <w:tcPr/>
          <w:p>
            <w:pPr>
              <w:pStyle w:val="Compact"/>
              <w:jc w:val="left"/>
            </w:pPr>
            <w:r>
              <w:t xml:space="preserve">No</w:t>
            </w:r>
          </w:p>
        </w:tc>
        <w:tc>
          <w:tcPr/>
          <w:p>
            <w:pPr>
              <w:pStyle w:val="Compact"/>
              <w:jc w:val="left"/>
            </w:pPr>
            <w:r>
              <w:t xml:space="preserve">Early renewers</w:t>
            </w:r>
          </w:p>
        </w:tc>
        <w:tc>
          <w:tcPr/>
          <w:p>
            <w:pPr>
              <w:pStyle w:val="Compact"/>
              <w:jc w:val="right"/>
            </w:pPr>
            <w:r>
              <w:t xml:space="preserve">18</w:t>
            </w:r>
          </w:p>
        </w:tc>
        <w:tc>
          <w:tcPr/>
          <w:p>
            <w:pPr>
              <w:pStyle w:val="Compact"/>
              <w:jc w:val="right"/>
            </w:pPr>
            <w:r>
              <w:t xml:space="preserve">10,931</w:t>
            </w:r>
          </w:p>
        </w:tc>
      </w:tr>
      <w:tr>
        <w:tc>
          <w:tcPr/>
          <w:p>
            <w:pPr>
              <w:pStyle w:val="Compact"/>
              <w:jc w:val="right"/>
            </w:pPr>
            <w:r>
              <w:t xml:space="preserve">2022</w:t>
            </w:r>
          </w:p>
        </w:tc>
        <w:tc>
          <w:tcPr/>
          <w:p>
            <w:pPr>
              <w:pStyle w:val="Compact"/>
              <w:jc w:val="right"/>
            </w:pPr>
            <w:r>
              <w:t xml:space="preserve">2</w:t>
            </w:r>
          </w:p>
        </w:tc>
        <w:tc>
          <w:tcPr/>
          <w:p>
            <w:pPr>
              <w:pStyle w:val="Compact"/>
              <w:jc w:val="left"/>
            </w:pPr>
            <w:r>
              <w:t xml:space="preserve">No</w:t>
            </w:r>
          </w:p>
        </w:tc>
        <w:tc>
          <w:tcPr/>
          <w:p>
            <w:pPr>
              <w:pStyle w:val="Compact"/>
              <w:jc w:val="left"/>
            </w:pPr>
            <w:r>
              <w:t xml:space="preserve">Other ACOs</w:t>
            </w:r>
          </w:p>
        </w:tc>
        <w:tc>
          <w:tcPr/>
          <w:p>
            <w:pPr>
              <w:pStyle w:val="Compact"/>
              <w:jc w:val="right"/>
            </w:pPr>
            <w:r>
              <w:t xml:space="preserve">164</w:t>
            </w:r>
          </w:p>
        </w:tc>
        <w:tc>
          <w:tcPr/>
          <w:p>
            <w:pPr>
              <w:pStyle w:val="Compact"/>
              <w:jc w:val="right"/>
            </w:pPr>
            <w:r>
              <w:t xml:space="preserve">11,912</w:t>
            </w:r>
          </w:p>
        </w:tc>
      </w:tr>
      <w:tr>
        <w:tc>
          <w:tcPr/>
          <w:p>
            <w:pPr>
              <w:pStyle w:val="Compact"/>
              <w:jc w:val="right"/>
            </w:pPr>
            <w:r>
              <w:t xml:space="preserve">2022</w:t>
            </w:r>
          </w:p>
        </w:tc>
        <w:tc>
          <w:tcPr/>
          <w:p>
            <w:pPr>
              <w:pStyle w:val="Compact"/>
              <w:jc w:val="right"/>
            </w:pPr>
            <w:r>
              <w:t xml:space="preserve">2</w:t>
            </w:r>
          </w:p>
        </w:tc>
        <w:tc>
          <w:tcPr/>
          <w:p>
            <w:pPr>
              <w:pStyle w:val="Compact"/>
              <w:jc w:val="left"/>
            </w:pPr>
            <w:r>
              <w:t xml:space="preserve">No</w:t>
            </w:r>
          </w:p>
        </w:tc>
        <w:tc>
          <w:tcPr/>
          <w:p>
            <w:pPr>
              <w:pStyle w:val="Compact"/>
              <w:jc w:val="left"/>
            </w:pPr>
            <w:r>
              <w:t xml:space="preserve">Early renewers</w:t>
            </w:r>
          </w:p>
        </w:tc>
        <w:tc>
          <w:tcPr/>
          <w:p>
            <w:pPr>
              <w:pStyle w:val="Compact"/>
              <w:jc w:val="right"/>
            </w:pPr>
            <w:r>
              <w:t xml:space="preserve">17</w:t>
            </w:r>
          </w:p>
        </w:tc>
        <w:tc>
          <w:tcPr/>
          <w:p>
            <w:pPr>
              <w:pStyle w:val="Compact"/>
              <w:jc w:val="right"/>
            </w:pPr>
            <w:r>
              <w:t xml:space="preserve">11,205</w:t>
            </w:r>
          </w:p>
        </w:tc>
      </w:tr>
      <w:tr>
        <w:tc>
          <w:tcPr/>
          <w:p>
            <w:pPr>
              <w:pStyle w:val="Compact"/>
              <w:jc w:val="right"/>
            </w:pPr>
            <w:r>
              <w:t xml:space="preserve">2022</w:t>
            </w:r>
          </w:p>
        </w:tc>
        <w:tc>
          <w:tcPr/>
          <w:p>
            <w:pPr>
              <w:pStyle w:val="Compact"/>
              <w:jc w:val="right"/>
            </w:pPr>
            <w:r>
              <w:t xml:space="preserve">3</w:t>
            </w:r>
          </w:p>
        </w:tc>
        <w:tc>
          <w:tcPr/>
          <w:p>
            <w:pPr>
              <w:pStyle w:val="Compact"/>
              <w:jc w:val="left"/>
            </w:pPr>
            <w:r>
              <w:t xml:space="preserve">Yes</w:t>
            </w:r>
          </w:p>
        </w:tc>
        <w:tc>
          <w:tcPr/>
          <w:p>
            <w:pPr>
              <w:pStyle w:val="Compact"/>
              <w:jc w:val="left"/>
            </w:pPr>
            <w:r>
              <w:t xml:space="preserve">Other ACOs</w:t>
            </w:r>
          </w:p>
        </w:tc>
        <w:tc>
          <w:tcPr/>
          <w:p>
            <w:pPr>
              <w:pStyle w:val="Compact"/>
              <w:jc w:val="right"/>
            </w:pPr>
            <w:r>
              <w:t xml:space="preserve">120</w:t>
            </w:r>
          </w:p>
        </w:tc>
        <w:tc>
          <w:tcPr/>
          <w:p>
            <w:pPr>
              <w:pStyle w:val="Compact"/>
              <w:jc w:val="right"/>
            </w:pPr>
            <w:r>
              <w:t xml:space="preserve">12,762</w:t>
            </w:r>
          </w:p>
        </w:tc>
      </w:tr>
      <w:tr>
        <w:tc>
          <w:tcPr/>
          <w:p>
            <w:pPr>
              <w:pStyle w:val="Compact"/>
              <w:jc w:val="right"/>
            </w:pPr>
            <w:r>
              <w:t xml:space="preserve">2022</w:t>
            </w:r>
          </w:p>
        </w:tc>
        <w:tc>
          <w:tcPr/>
          <w:p>
            <w:pPr>
              <w:pStyle w:val="Compact"/>
              <w:jc w:val="right"/>
            </w:pPr>
            <w:r>
              <w:t xml:space="preserve">3</w:t>
            </w:r>
          </w:p>
        </w:tc>
        <w:tc>
          <w:tcPr/>
          <w:p>
            <w:pPr>
              <w:pStyle w:val="Compact"/>
              <w:jc w:val="left"/>
            </w:pPr>
            <w:r>
              <w:t xml:space="preserve">Yes</w:t>
            </w:r>
          </w:p>
        </w:tc>
        <w:tc>
          <w:tcPr/>
          <w:p>
            <w:pPr>
              <w:pStyle w:val="Compact"/>
              <w:jc w:val="left"/>
            </w:pPr>
            <w:r>
              <w:t xml:space="preserve">Early renewers</w:t>
            </w:r>
          </w:p>
        </w:tc>
        <w:tc>
          <w:tcPr/>
          <w:p>
            <w:pPr>
              <w:pStyle w:val="Compact"/>
              <w:jc w:val="right"/>
            </w:pPr>
            <w:r>
              <w:t xml:space="preserve">15</w:t>
            </w:r>
          </w:p>
        </w:tc>
        <w:tc>
          <w:tcPr/>
          <w:p>
            <w:pPr>
              <w:pStyle w:val="Compact"/>
              <w:jc w:val="right"/>
            </w:pPr>
            <w:r>
              <w:t xml:space="preserve">11,892</w:t>
            </w:r>
          </w:p>
        </w:tc>
      </w:tr>
    </w:tbl>
    <w:p>
      <w:pPr>
        <w:pStyle w:val="BodyText"/>
      </w:pPr>
      <w:r>
        <w:t xml:space="preserve">Mean per-capita spending (US dollars) of assigned beneficiaries by agreement start year and agreement year (performance year - start year + 1), PY2020-PY2024 (plan section 5.6). Agreement years 3-5 are the scheduled benchmark years of the next agreement; early renewers out of a 2020 agreement are shown separately. Benchmark-year status cannot be separated from tenure here, so this is description only.</w:t>
      </w:r>
    </w:p>
    <w:p>
      <w:pPr>
        <w:pStyle w:val="TableCaption"/>
      </w:pPr>
      <w:r>
        <w:t xml:space="preserve">eTable 13. Post hoc checks of the expected gain against CMS’s published 2022 benchmarks, and of the regional pull against past savings</w:t>
      </w:r>
    </w:p>
    <w:tbl>
      <w:tblPr>
        <w:tblStyle w:val="Table"/>
        <w:tblW w:type="pct" w:w="5000"/>
        <w:tblLayout w:type="fixed"/>
        <w:tblLook w:firstRow="1" w:lastRow="0" w:firstColumn="0" w:lastColumn="0" w:noHBand="0" w:noVBand="0" w:val="0020"/>
        <w:tblCaption w:val="eTable 13. Post hoc checks of the expected gain against CMS’s published 2022 benchmarks, and of the regional pull against past savings"/>
      </w:tblPr>
      <w:tblGrid>
        <w:gridCol w:w="2151"/>
        <w:gridCol w:w="988"/>
        <w:gridCol w:w="1339"/>
        <w:gridCol w:w="1553"/>
        <w:gridCol w:w="1007"/>
        <w:gridCol w:w="877"/>
        <w:gridCol w:w="1445"/>
      </w:tblGrid>
      <w:tr>
        <w:trPr>
          <w:tblHeader w:val="on"/>
        </w:trPr>
        <w:tc>
          <w:tcPr/>
          <w:p>
            <w:pPr>
              <w:pStyle w:val="Compact"/>
              <w:jc w:val="left"/>
            </w:pPr>
            <w:r>
              <w:t xml:space="preserve">Check</w:t>
            </w:r>
          </w:p>
        </w:tc>
        <w:tc>
          <w:tcPr/>
          <w:p>
            <w:pPr>
              <w:pStyle w:val="Compact"/>
              <w:jc w:val="right"/>
            </w:pPr>
            <w:r>
              <w:t xml:space="preserve">ACOs, No.</w:t>
            </w:r>
          </w:p>
        </w:tc>
        <w:tc>
          <w:tcPr/>
          <w:p>
            <w:pPr>
              <w:pStyle w:val="Compact"/>
              <w:jc w:val="right"/>
            </w:pPr>
            <w:r>
              <w:t xml:space="preserve">Spearman ρ</w:t>
            </w:r>
          </w:p>
        </w:tc>
        <w:tc>
          <w:tcPr/>
          <w:p>
            <w:pPr>
              <w:pStyle w:val="Compact"/>
              <w:jc w:val="right"/>
            </w:pPr>
            <w:r>
              <w:t xml:space="preserve">Median absolute error</w:t>
            </w:r>
          </w:p>
        </w:tc>
        <w:tc>
          <w:tcPr/>
          <w:p>
            <w:pPr>
              <w:pStyle w:val="Compact"/>
              <w:jc w:val="right"/>
            </w:pPr>
            <w:r>
              <w:t xml:space="preserve">Mean error</w:t>
            </w:r>
          </w:p>
        </w:tc>
        <w:tc>
          <w:tcPr/>
          <w:p>
            <w:pPr>
              <w:pStyle w:val="Compact"/>
              <w:jc w:val="right"/>
            </w:pPr>
            <w:r>
              <w:t xml:space="preserve">Same sign</w:t>
            </w:r>
          </w:p>
        </w:tc>
        <w:tc>
          <w:tcPr/>
          <w:p>
            <w:pPr>
              <w:pStyle w:val="Compact"/>
              <w:jc w:val="right"/>
            </w:pPr>
            <w:r>
              <w:t xml:space="preserve">Mean rebuilt / actual</w:t>
            </w:r>
          </w:p>
        </w:tc>
      </w:tr>
      <w:tr>
        <w:tc>
          <w:tcPr/>
          <w:p>
            <w:pPr>
              <w:pStyle w:val="Compact"/>
              <w:jc w:val="left"/>
            </w:pPr>
            <w:r>
              <w:t xml:space="preserve">Regular renewers: rebuilt vs actual change</w:t>
            </w:r>
          </w:p>
        </w:tc>
        <w:tc>
          <w:tcPr/>
          <w:p>
            <w:pPr>
              <w:pStyle w:val="Compact"/>
              <w:jc w:val="right"/>
            </w:pPr>
            <w:r>
              <w:t xml:space="preserve">101</w:t>
            </w:r>
          </w:p>
        </w:tc>
        <w:tc>
          <w:tcPr/>
          <w:p>
            <w:pPr>
              <w:pStyle w:val="Compact"/>
              <w:jc w:val="right"/>
            </w:pPr>
            <w:r>
              <w:t xml:space="preserve">0.61</w:t>
            </w:r>
          </w:p>
        </w:tc>
        <w:tc>
          <w:tcPr/>
          <w:p>
            <w:pPr>
              <w:pStyle w:val="Compact"/>
              <w:jc w:val="right"/>
            </w:pPr>
            <w:r>
              <w:t xml:space="preserve">1.7</w:t>
            </w:r>
          </w:p>
        </w:tc>
        <w:tc>
          <w:tcPr/>
          <w:p>
            <w:pPr>
              <w:pStyle w:val="Compact"/>
              <w:jc w:val="right"/>
            </w:pPr>
            <w:r>
              <w:t xml:space="preserve">−0.3</w:t>
            </w:r>
          </w:p>
        </w:tc>
        <w:tc>
          <w:tcPr/>
          <w:p>
            <w:pPr>
              <w:pStyle w:val="Compact"/>
              <w:jc w:val="right"/>
            </w:pPr>
            <w:r>
              <w:t xml:space="preserve">80%</w:t>
            </w:r>
          </w:p>
        </w:tc>
        <w:tc>
          <w:tcPr/>
          <w:p>
            <w:pPr>
              <w:pStyle w:val="Compact"/>
              <w:jc w:val="right"/>
            </w:pPr>
            <w:r>
              <w:t xml:space="preserve">−0.9 / −0.6</w:t>
            </w:r>
          </w:p>
        </w:tc>
      </w:tr>
      <w:tr>
        <w:tc>
          <w:tcPr/>
          <w:p>
            <w:pPr>
              <w:pStyle w:val="Compact"/>
              <w:jc w:val="left"/>
            </w:pPr>
            <w:r>
              <w:t xml:space="preserve">Early renewers: rebuilt gain vs realized reset</w:t>
            </w:r>
          </w:p>
        </w:tc>
        <w:tc>
          <w:tcPr/>
          <w:p>
            <w:pPr>
              <w:pStyle w:val="Compact"/>
              <w:jc w:val="right"/>
            </w:pPr>
            <w:r>
              <w:t xml:space="preserve">26</w:t>
            </w:r>
          </w:p>
        </w:tc>
        <w:tc>
          <w:tcPr/>
          <w:p>
            <w:pPr>
              <w:pStyle w:val="Compact"/>
              <w:jc w:val="right"/>
            </w:pPr>
            <w:r>
              <w:t xml:space="preserve">0.60</w:t>
            </w:r>
          </w:p>
        </w:tc>
        <w:tc>
          <w:tcPr/>
          <w:p>
            <w:pPr>
              <w:pStyle w:val="Compact"/>
              <w:jc w:val="right"/>
            </w:pPr>
            <w:r>
              <w:t xml:space="preserve">2.1</w:t>
            </w:r>
          </w:p>
        </w:tc>
        <w:tc>
          <w:tcPr/>
          <w:p>
            <w:pPr>
              <w:pStyle w:val="Compact"/>
              <w:jc w:val="right"/>
            </w:pPr>
            <w:r>
              <w:t xml:space="preserve">−0.2</w:t>
            </w:r>
          </w:p>
        </w:tc>
        <w:tc>
          <w:tcPr/>
          <w:p>
            <w:pPr>
              <w:pStyle w:val="Compact"/>
              <w:jc w:val="right"/>
            </w:pPr>
            <w:r>
              <w:t xml:space="preserve">92%</w:t>
            </w:r>
          </w:p>
        </w:tc>
        <w:tc>
          <w:tcPr/>
          <w:p>
            <w:pPr>
              <w:pStyle w:val="Compact"/>
              <w:jc w:val="right"/>
            </w:pPr>
            <w:r>
              <w:t xml:space="preserve">−1.6 / −1.4</w:t>
            </w:r>
          </w:p>
        </w:tc>
      </w:tr>
    </w:tbl>
    <w:p>
      <w:pPr>
        <w:pStyle w:val="BodyText"/>
      </w:pPr>
      <w:r>
        <w:t xml:space="preserve">Post hoc and exploratory; not registered (stharrold.github.io, analysis/mssp-benchmark-ratchet/posthoc/). Changes are 100 x (2022 historical benchmark - PY2021 updated benchmark) / PY2021 updated benchmark, in percentage points of the PY2021 benchmark, both in 2021 dollars: rebuilt from public files, or actual as CMS published it in the PY2022 results file. Error = rebuilt - actual. Realized reset, all 29 early renewers: mean −1.3, median −1.5, 66% below the PY2021 benchmark. Updated benchmark PY2021 to PY2022 (includes the annual update for both groups): early renewers +3.1% and stayers +2.9% on average; within-cohort difference 0.0 points (95% CrI, −2.0 to 2.2;</w:t>
      </w:r>
      <w:r>
        <w:t xml:space="preserve"> </w:t>
      </w:r>
      <w:r>
        <w:rPr>
          <w:i/>
          <w:iCs/>
        </w:rPr>
        <w:t xml:space="preserve">P</w:t>
      </w:r>
      <w:r>
        <w:t xml:space="preserve">=.97). Regional pull and past savings (267 early renewers and stayers with the variable): Spearman ρ 0.45 with the PY2020 savings rate, 0.23 with the PY2021 savings rate and −0.25 with the own-spending component (stayers alone: 0.42, 0.23 and −0.25).</w:t>
      </w:r>
    </w:p>
    <w:bookmarkStart w:id="10" w:name="Xbb380d809b2723f99c0f38291f5ada62d815562"/>
    <w:p>
      <w:pPr>
        <w:pStyle w:val="Heading1"/>
      </w:pPr>
      <w:r>
        <w:t xml:space="preserve">eMethods. Registration record and deviations</w:t>
      </w:r>
    </w:p>
    <w:p>
      <w:pPr>
        <w:pStyle w:val="TableCaption"/>
      </w:pPr>
      <w:r>
        <w:t xml:space="preserve">eTable 14. Registration record</w:t>
      </w:r>
    </w:p>
    <w:tbl>
      <w:tblPr>
        <w:tblStyle w:val="Table"/>
        <w:tblW w:type="pct" w:w="5000"/>
        <w:tblLayout w:type="fixed"/>
        <w:tblLook w:firstRow="1" w:lastRow="0" w:firstColumn="0" w:lastColumn="0" w:noHBand="0" w:noVBand="0" w:val="0020"/>
        <w:tblCaption w:val="eTable 14. Registration record"/>
      </w:tblPr>
      <w:tblGrid>
        <w:gridCol w:w="1440"/>
        <w:gridCol w:w="792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Registry</w:t>
            </w:r>
          </w:p>
        </w:tc>
        <w:tc>
          <w:tcPr/>
          <w:p>
            <w:pPr>
              <w:pStyle w:val="Compact"/>
              <w:jc w:val="left"/>
            </w:pPr>
            <w:r>
              <w:t xml:space="preserve">OSF Registries,</w:t>
            </w:r>
            <w:r>
              <w:t xml:space="preserve"> </w:t>
            </w:r>
            <w:hyperlink r:id="rId9">
              <w:r>
                <w:rPr>
                  <w:rStyle w:val="Hyperlink"/>
                </w:rPr>
                <w:t xml:space="preserve">osf.io/c53w9</w:t>
              </w:r>
            </w:hyperlink>
            <w:r>
              <w:t xml:space="preserve">, doi:10.17605/OSF.IO/C53W9</w:t>
            </w:r>
          </w:p>
        </w:tc>
      </w:tr>
      <w:tr>
        <w:tc>
          <w:tcPr/>
          <w:p>
            <w:pPr>
              <w:pStyle w:val="Compact"/>
              <w:jc w:val="left"/>
            </w:pPr>
            <w:r>
              <w:t xml:space="preserve">Registered</w:t>
            </w:r>
          </w:p>
        </w:tc>
        <w:tc>
          <w:tcPr/>
          <w:p>
            <w:pPr>
              <w:pStyle w:val="Compact"/>
              <w:jc w:val="left"/>
            </w:pPr>
            <w:r>
              <w:t xml:space="preserve">October 26, 2026, 13:22:16 UTC; public, no embargo</w:t>
            </w:r>
          </w:p>
        </w:tc>
      </w:tr>
      <w:tr>
        <w:tc>
          <w:tcPr/>
          <w:p>
            <w:pPr>
              <w:pStyle w:val="Compact"/>
              <w:jc w:val="left"/>
            </w:pPr>
            <w:r>
              <w:t xml:space="preserve">Plan</w:t>
            </w:r>
          </w:p>
        </w:tc>
        <w:tc>
          <w:tcPr/>
          <w:p>
            <w:pPr>
              <w:pStyle w:val="Compact"/>
              <w:jc w:val="left"/>
            </w:pPr>
            <w:r>
              <w:rPr>
                <w:rStyle w:val="VerbatimChar"/>
              </w:rPr>
              <w:t xml:space="preserve">PREREGISTRATION.md</w:t>
            </w:r>
            <w:r>
              <w:t xml:space="preserve"> </w:t>
            </w:r>
            <w:r>
              <w:t xml:space="preserve">version 0.6, SHA-256</w:t>
            </w:r>
            <w:r>
              <w:t xml:space="preserve"> </w:t>
            </w:r>
            <w:r>
              <w:rPr>
                <w:rStyle w:val="VerbatimChar"/>
              </w:rPr>
              <w:t xml:space="preserve">d0e374c8b493eb2f2fa7da1c0d8cbe46745a601233f11a81d2b2be73c402e8f2</w:t>
            </w:r>
          </w:p>
        </w:tc>
      </w:tr>
      <w:tr>
        <w:tc>
          <w:tcPr/>
          <w:p>
            <w:pPr>
              <w:pStyle w:val="Compact"/>
              <w:jc w:val="left"/>
            </w:pPr>
            <w:r>
              <w:t xml:space="preserve">Code</w:t>
            </w:r>
          </w:p>
        </w:tc>
        <w:tc>
          <w:tcPr/>
          <w:p>
            <w:pPr>
              <w:pStyle w:val="Compact"/>
              <w:jc w:val="left"/>
            </w:pPr>
            <w:r>
              <w:t xml:space="preserve">commit</w:t>
            </w:r>
            <w:r>
              <w:t xml:space="preserve"> </w:t>
            </w:r>
            <w:r>
              <w:rPr>
                <w:rStyle w:val="VerbatimChar"/>
              </w:rPr>
              <w:t xml:space="preserve">a4064f5</w:t>
            </w:r>
            <w:r>
              <w:t xml:space="preserve">, archive SHA-256</w:t>
            </w:r>
            <w:r>
              <w:t xml:space="preserve"> </w:t>
            </w:r>
            <w:r>
              <w:rPr>
                <w:rStyle w:val="VerbatimChar"/>
              </w:rPr>
              <w:t xml:space="preserve">4c98d76a586151ab608851c69217a5ddb6b394201643a3de89a839bb1f659cd4</w:t>
            </w:r>
          </w:p>
        </w:tc>
      </w:tr>
      <w:tr>
        <w:tc>
          <w:tcPr/>
          <w:p>
            <w:pPr>
              <w:pStyle w:val="Compact"/>
              <w:jc w:val="left"/>
            </w:pPr>
            <w:r>
              <w:t xml:space="preserve">Data</w:t>
            </w:r>
          </w:p>
        </w:tc>
        <w:tc>
          <w:tcPr/>
          <w:p>
            <w:pPr>
              <w:pStyle w:val="Compact"/>
              <w:jc w:val="left"/>
            </w:pPr>
            <w:r>
              <w:t xml:space="preserve">40 CMS public use files downloaded October 22, 2026, each with its SHA-256 hash in</w:t>
            </w:r>
            <w:r>
              <w:t xml:space="preserve"> </w:t>
            </w:r>
            <w:r>
              <w:rPr>
                <w:rStyle w:val="VerbatimChar"/>
              </w:rPr>
              <w:t xml:space="preserve">data-snapshot.tsv</w:t>
            </w:r>
            <w:r>
              <w:t xml:space="preserve">; archived on OSF</w:t>
            </w:r>
            <w:r>
              <w:t xml:space="preserve">[</w:t>
            </w:r>
            <w:hyperlink w:anchor="ref-osfproject">
              <w:r>
                <w:rPr>
                  <w:rStyle w:val="Hyperlink"/>
                </w:rPr>
                <w:t xml:space="preserve">2</w:t>
              </w:r>
            </w:hyperlink>
            <w:r>
              <w:t xml:space="preserve">]</w:t>
            </w:r>
          </w:p>
        </w:tc>
      </w:tr>
    </w:tbl>
    <w:p>
      <w:pPr>
        <w:pStyle w:val="BodyText"/>
      </w:pPr>
      <w:r>
        <w:rPr>
          <w:b/>
          <w:bCs/>
        </w:rPr>
        <w:t xml:space="preserve">Outcome lock.</w:t>
      </w:r>
      <w:r>
        <w:t xml:space="preserve"> </w:t>
      </w:r>
      <w:r>
        <w:t xml:space="preserve">Every data file is hashed before it is read. A file whose hash matches a performance-year results</w:t>
      </w:r>
      <w:r>
        <w:t xml:space="preserve"> </w:t>
      </w:r>
      <w:r>
        <w:t xml:space="preserve">file, a county spending file or the county assignment file could not be opened until the registration record existed, and the code had no</w:t>
      </w:r>
      <w:r>
        <w:t xml:space="preserve"> </w:t>
      </w:r>
      <w:r>
        <w:t xml:space="preserve">bypass. Before registration, only the enrollment files, the CMS data dictionaries, the regulation text and the column</w:t>
      </w:r>
      <w:r>
        <w:t xml:space="preserve"> </w:t>
      </w:r>
      <w:r>
        <w:t xml:space="preserve">names (not the values) of the outcome files were used.</w:t>
      </w:r>
    </w:p>
    <w:p>
      <w:pPr>
        <w:pStyle w:val="BodyText"/>
      </w:pPr>
      <w:r>
        <w:rPr>
          <w:b/>
          <w:bCs/>
        </w:rPr>
        <w:t xml:space="preserve">Order of analysis.</w:t>
      </w:r>
      <w:r>
        <w:t xml:space="preserve"> </w:t>
      </w:r>
      <w:r>
        <w:t xml:space="preserve">The stages ran in the order validate, power, confirm and robustness (concurrently; both</w:t>
      </w:r>
      <w:r>
        <w:t xml:space="preserve"> </w:t>
      </w:r>
      <w:r>
        <w:t xml:space="preserve">depended only on validation and power), then H4, conventional and exploratory. Each stage refused to start until its</w:t>
      </w:r>
      <w:r>
        <w:t xml:space="preserve"> </w:t>
      </w:r>
      <w:r>
        <w:t xml:space="preserve">inputs existed. The robustness results were committed about 17 hours before the confirmatory results and were read</w:t>
      </w:r>
      <w:r>
        <w:t xml:space="preserve"> </w:t>
      </w:r>
      <w:r>
        <w:t xml:space="preserve">only together with them, primary test first.</w:t>
      </w:r>
    </w:p>
    <w:p>
      <w:pPr>
        <w:pStyle w:val="BodyText"/>
      </w:pPr>
      <w:r>
        <w:rPr>
          <w:b/>
          <w:bCs/>
        </w:rPr>
        <w:t xml:space="preserve">Deviations.</w:t>
      </w:r>
      <w:r>
        <w:t xml:space="preserve"> </w:t>
      </w:r>
      <w:r>
        <w:t xml:space="preserve">All 7 stages ran with code identical to the registered commit. Two files changed after the last</w:t>
      </w:r>
      <w:r>
        <w:t xml:space="preserve"> </w:t>
      </w:r>
      <w:r>
        <w:t xml:space="preserve">stage and produced no result: a reporting script for the online dashboard, which had shown PY2021 savings rates 100</w:t>
      </w:r>
      <w:r>
        <w:t xml:space="preserve"> </w:t>
      </w:r>
      <w:r>
        <w:t xml:space="preserve">times too large, and the lockfile</w:t>
      </w:r>
      <w:r>
        <w:t xml:space="preserve"> </w:t>
      </w:r>
      <w:r>
        <w:rPr>
          <w:rStyle w:val="VerbatimChar"/>
        </w:rPr>
        <w:t xml:space="preserve">uv.lock</w:t>
      </w:r>
      <w:r>
        <w:t xml:space="preserve">, which took security updates to 2 packages (filelock and</w:t>
      </w:r>
      <w:r>
        <w:t xml:space="preserve"> </w:t>
      </w:r>
      <w:r>
        <w:t xml:space="preserve">virtualenv), neither of which enters an estimate. The lockfile is a registered file, so its change is logged as the one deviation; rerunning the analysis</w:t>
      </w:r>
      <w:r>
        <w:t xml:space="preserve"> </w:t>
      </w:r>
      <w:r>
        <w:t xml:space="preserve">as registered uses the lockfile at the registered commit. One sentence in the plan’s background (section 1.1) is</w:t>
      </w:r>
      <w:r>
        <w:t xml:space="preserve"> </w:t>
      </w:r>
      <w:r>
        <w:t xml:space="preserve">imprecise: ENHANCED shares 75% of savings but up to 75% of losses, and the bar on moving from BASIC to ENHANCED</w:t>
      </w:r>
      <w:r>
        <w:t xml:space="preserve"> </w:t>
      </w:r>
      <w:r>
        <w:t xml:space="preserve">within an agreement period is in the 2018 rule’s preamble,</w:t>
      </w:r>
      <w:r>
        <w:t xml:space="preserve">[</w:t>
      </w:r>
      <w:hyperlink w:anchor="ref-frpathways">
        <w:r>
          <w:rPr>
            <w:rStyle w:val="Hyperlink"/>
          </w:rPr>
          <w:t xml:space="preserve">3</w:t>
        </w:r>
      </w:hyperlink>
      <w:r>
        <w:t xml:space="preserve">]</w:t>
      </w:r>
      <w:r>
        <w:t xml:space="preserve"> </w:t>
      </w:r>
      <w:r>
        <w:t xml:space="preserve">not in the regulation’s text. Nothing in the</w:t>
      </w:r>
      <w:r>
        <w:t xml:space="preserve"> </w:t>
      </w:r>
      <w:r>
        <w:t xml:space="preserve">analysis depends on it.</w:t>
      </w:r>
    </w:p>
    <w:p>
      <w:pPr>
        <w:pStyle w:val="BodyText"/>
      </w:pPr>
      <w:r>
        <w:rPr>
          <w:b/>
          <w:bCs/>
        </w:rPr>
        <w:t xml:space="preserve">Reproducibility.</w:t>
      </w:r>
      <w:r>
        <w:t xml:space="preserve"> </w:t>
      </w:r>
      <w:r>
        <w:t xml:space="preserve">A rerun from a fresh clone reproduced the validation stage exactly and every deterministic value</w:t>
      </w:r>
      <w:r>
        <w:t xml:space="preserve"> </w:t>
      </w:r>
      <w:r>
        <w:t xml:space="preserve">of the power stage, but not the simulated values exactly: H1’s simulated power was 77.6% against the committed</w:t>
      </w:r>
      <w:r>
        <w:t xml:space="preserve"> </w:t>
      </w:r>
      <w:r>
        <w:t xml:space="preserve">80.4%, and H3’s detection shares 15% against 17% (pull) and 15% against 14% (BASIC level). The analysis reads its</w:t>
      </w:r>
      <w:r>
        <w:t xml:space="preserve"> </w:t>
      </w:r>
      <w:r>
        <w:t xml:space="preserve">table without a fixed row order, so seeded random draws fall on ACOs in a different order in each run, and every</w:t>
      </w:r>
      <w:r>
        <w:t xml:space="preserve"> </w:t>
      </w:r>
      <w:r>
        <w:t xml:space="preserve">resampled or simulated value varies within simulation error (about 1.6 points for a detection share from 500</w:t>
      </w:r>
      <w:r>
        <w:t xml:space="preserve"> </w:t>
      </w:r>
      <w:r>
        <w:t xml:space="preserve">datasets). No verdict is near a threshold at which that would matter.</w:t>
      </w:r>
    </w:p>
    <w:bookmarkEnd w:id="10"/>
    <w:bookmarkStart w:id="18" w:name="references"/>
    <w:p>
      <w:pPr>
        <w:pStyle w:val="Heading1"/>
      </w:pPr>
      <w:r>
        <w:t xml:space="preserve">References</w:t>
      </w:r>
    </w:p>
    <w:bookmarkStart w:id="17" w:name="refs"/>
    <w:bookmarkStart w:id="12" w:name="ref-registration"/>
    <w:p>
      <w:pPr>
        <w:pStyle w:val="Bibliography"/>
      </w:pPr>
      <w:r>
        <w:t xml:space="preserve">1.</w:t>
      </w:r>
      <w:r>
        <w:t xml:space="preserve"> </w:t>
      </w:r>
      <w:r>
        <w:t xml:space="preserve">	</w:t>
      </w:r>
      <w:r>
        <w:t xml:space="preserve">Harrold ST. Why did</w:t>
      </w:r>
      <w:r>
        <w:t xml:space="preserve"> </w:t>
      </w:r>
      <w:r>
        <w:t xml:space="preserve">Medicare</w:t>
      </w:r>
      <w:r>
        <w:t xml:space="preserve"> </w:t>
      </w:r>
      <w:r>
        <w:t xml:space="preserve">ACOs</w:t>
      </w:r>
      <w:r>
        <w:t xml:space="preserve"> </w:t>
      </w:r>
      <w:r>
        <w:t xml:space="preserve">reset their benchmarks early?</w:t>
      </w:r>
      <w:r>
        <w:t xml:space="preserve"> </w:t>
      </w:r>
      <w:r>
        <w:t xml:space="preserve">A</w:t>
      </w:r>
      <w:r>
        <w:t xml:space="preserve"> </w:t>
      </w:r>
      <w:r>
        <w:t xml:space="preserve">pre-registered analysis of early renewal in the</w:t>
      </w:r>
      <w:r>
        <w:t xml:space="preserve"> </w:t>
      </w:r>
      <w:r>
        <w:t xml:space="preserve">Medicare</w:t>
      </w:r>
      <w:r>
        <w:t xml:space="preserve"> </w:t>
      </w:r>
      <w:r>
        <w:t xml:space="preserve">Shared</w:t>
      </w:r>
      <w:r>
        <w:t xml:space="preserve"> </w:t>
      </w:r>
      <w:r>
        <w:t xml:space="preserve">Savings</w:t>
      </w:r>
      <w:r>
        <w:t xml:space="preserve"> </w:t>
      </w:r>
      <w:r>
        <w:t xml:space="preserve">Program</w:t>
      </w:r>
      <w:r>
        <w:t xml:space="preserve">. Published online 2026. doi:</w:t>
      </w:r>
      <w:hyperlink r:id="rId11">
        <w:r>
          <w:rPr>
            <w:rStyle w:val="Hyperlink"/>
          </w:rPr>
          <w:t xml:space="preserve">10.17605/OSF.IO/C53W9</w:t>
        </w:r>
      </w:hyperlink>
    </w:p>
    <w:bookmarkEnd w:id="12"/>
    <w:bookmarkStart w:id="14" w:name="ref-osfproject"/>
    <w:p>
      <w:pPr>
        <w:pStyle w:val="Bibliography"/>
      </w:pPr>
      <w:r>
        <w:t xml:space="preserve">2.</w:t>
      </w:r>
      <w:r>
        <w:t xml:space="preserve"> </w:t>
      </w:r>
      <w:r>
        <w:t xml:space="preserve">	</w:t>
      </w:r>
      <w:r>
        <w:t xml:space="preserve">Harrold ST. Why did</w:t>
      </w:r>
      <w:r>
        <w:t xml:space="preserve"> </w:t>
      </w:r>
      <w:r>
        <w:t xml:space="preserve">Medicare</w:t>
      </w:r>
      <w:r>
        <w:t xml:space="preserve"> </w:t>
      </w:r>
      <w:r>
        <w:t xml:space="preserve">ACOs</w:t>
      </w:r>
      <w:r>
        <w:t xml:space="preserve"> </w:t>
      </w:r>
      <w:r>
        <w:t xml:space="preserve">reset their benchmarks early?</w:t>
      </w:r>
      <w:r>
        <w:t xml:space="preserve"> </w:t>
      </w:r>
      <w:r>
        <w:t xml:space="preserve">Project</w:t>
      </w:r>
      <w:r>
        <w:t xml:space="preserve"> </w:t>
      </w:r>
      <w:r>
        <w:t xml:space="preserve">files: Results notebook exports and archived</w:t>
      </w:r>
      <w:r>
        <w:t xml:space="preserve"> </w:t>
      </w:r>
      <w:r>
        <w:t xml:space="preserve">CMS</w:t>
      </w:r>
      <w:r>
        <w:t xml:space="preserve"> </w:t>
      </w:r>
      <w:r>
        <w:t xml:space="preserve">data snapshot. Published online 2026. doi:</w:t>
      </w:r>
      <w:hyperlink r:id="rId13">
        <w:r>
          <w:rPr>
            <w:rStyle w:val="Hyperlink"/>
          </w:rPr>
          <w:t xml:space="preserve">10.17605/OSF.IO/Z4AN5</w:t>
        </w:r>
      </w:hyperlink>
    </w:p>
    <w:bookmarkEnd w:id="14"/>
    <w:bookmarkStart w:id="16" w:name="ref-frpathways"/>
    <w:p>
      <w:pPr>
        <w:pStyle w:val="Bibliography"/>
      </w:pPr>
      <w:r>
        <w:t xml:space="preserve">3.</w:t>
      </w:r>
      <w:r>
        <w:t xml:space="preserve"> </w:t>
      </w:r>
      <w:r>
        <w:t xml:space="preserve">	</w:t>
      </w:r>
      <w:r>
        <w:t xml:space="preserve">Centers for Medicare &amp; Medicaid Services. Medicare program;</w:t>
      </w:r>
      <w:r>
        <w:t xml:space="preserve"> </w:t>
      </w:r>
      <w:r>
        <w:t xml:space="preserve">Medicare</w:t>
      </w:r>
      <w:r>
        <w:t xml:space="preserve"> </w:t>
      </w:r>
      <w:r>
        <w:t xml:space="preserve">Shared</w:t>
      </w:r>
      <w:r>
        <w:t xml:space="preserve"> </w:t>
      </w:r>
      <w:r>
        <w:t xml:space="preserve">Savings</w:t>
      </w:r>
      <w:r>
        <w:t xml:space="preserve"> </w:t>
      </w:r>
      <w:r>
        <w:t xml:space="preserve">Program</w:t>
      </w:r>
      <w:r>
        <w:t xml:space="preserve">; accountable care organizations:</w:t>
      </w:r>
      <w:r>
        <w:t xml:space="preserve"> </w:t>
      </w:r>
      <w:r>
        <w:t xml:space="preserve">Pathways</w:t>
      </w:r>
      <w:r>
        <w:t xml:space="preserve"> </w:t>
      </w:r>
      <w:r>
        <w:t xml:space="preserve">to</w:t>
      </w:r>
      <w:r>
        <w:t xml:space="preserve"> </w:t>
      </w:r>
      <w:r>
        <w:t xml:space="preserve">Success</w:t>
      </w:r>
      <w:r>
        <w:t xml:space="preserve"> </w:t>
      </w:r>
      <w:r>
        <w:t xml:space="preserve">and extreme and uncontrollable circumstances policies for performance year 2017.</w:t>
      </w:r>
      <w:r>
        <w:t xml:space="preserve"> </w:t>
      </w:r>
      <w:r>
        <w:t xml:space="preserve">Final</w:t>
      </w:r>
      <w:r>
        <w:t xml:space="preserve"> </w:t>
      </w:r>
      <w:r>
        <w:t xml:space="preserve">rule. Published online 2018. Accessed October 28, 2026.</w:t>
      </w:r>
      <w:r>
        <w:t xml:space="preserve"> </w:t>
      </w:r>
      <w:hyperlink r:id="rId15">
        <w:r>
          <w:rPr>
            <w:rStyle w:val="Hyperlink"/>
          </w:rPr>
          <w:t xml:space="preserve">https://www.federalregister.gov/documents/2018/12/31/2018-27981/medicare-program-medicare-shared-savings-program-accountable-care-organizations-pathways-to-success</w:t>
        </w:r>
      </w:hyperlink>
    </w:p>
    <w:bookmarkEnd w:id="16"/>
    <w:bookmarkEnd w:id="17"/>
    <w:bookmarkEnd w:id="18"/>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heme="minorBidi" w:eastAsiaTheme="minorEastAsia"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after="0" w:line="480" w:lineRule="auto"/>
    </w:pPr>
    <w:name w:val="Normal"/>
    <w:qFormat/>
    <w:rPr>
      <w:rFonts w:ascii="Times New Roman" w:hAnsi="Times New Roman"/>
      <w:sz w:val="24"/>
      <w:szCs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line="240" w:lineRule="auto"/>
    </w:pPr>
    <w:rPr>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heme="majorBidi" w:eastAsiaTheme="majorEastAsia" w:hAnsi="Times New Roman"/>
      <w:sz w:val="28"/>
      <w:szCs w:val="28"/>
    </w:rPr>
  </w:style>
  <w:style w:customStyle="1" w:styleId="TitleChar" w:type="character">
    <w:name w:val="Title Char"/>
    <w:basedOn w:val="DefaultParagraphFont"/>
    <w:link w:val="Title"/>
    <w:uiPriority w:val="10"/>
    <w:rsid w:val="00A10FD9"/>
    <w:rPr>
      <w:rFonts w:ascii="Times New Roman" w:cstheme="majorBidi" w:eastAsiaTheme="majorEastAsia" w:hAnsi="Times New Roman"/>
      <w:sz w:val="28"/>
      <w:szCs w:val="28"/>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heme="majorEastAsia" w:hAnsi="Times New Roman"/>
      <w:color w:themeTint="A6"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heme="majorBidi" w:eastAsiaTheme="majorEastAsia" w:hAnsi="Times New Roman"/>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heme="majorBidi" w:eastAsiaTheme="majorEastAsia" w:hAnsi="Times New Roman"/>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heme="majorEastAsia"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heme="majorEastAsia" w:hAnsi="Times New Roman"/>
      <w:i/>
      <w:iCs/>
      <w:color w:themeTint="A6"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heme="majorEastAsia" w:hAnsi="Times New Roman"/>
      <w:color w:themeTint="A6"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heme="majorEastAsia" w:hAnsi="Times New Roman"/>
      <w:i/>
      <w:iCs/>
      <w:color w:themeTint="D8"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heme="majorEastAsia" w:hAnsi="Times New Roman"/>
      <w:color w:themeTint="D8" w:val="000000"/>
    </w:rPr>
  </w:style>
  <w:style w:customStyle="1" w:styleId="Heading1Char" w:type="character">
    <w:name w:val="Heading 1 Char"/>
    <w:basedOn w:val="DefaultParagraphFont"/>
    <w:link w:val="Heading1"/>
    <w:uiPriority w:val="9"/>
    <w:rsid w:val="00A10FD9"/>
    <w:rPr>
      <w:rFonts w:ascii="Times New Roman" w:cstheme="majorBidi" w:eastAsiaTheme="majorEastAsia" w:hAnsi="Times New Roman"/>
      <w:color w:val="000000"/>
      <w:sz w:val="28"/>
      <w:szCs w:val="28"/>
    </w:rPr>
  </w:style>
  <w:style w:customStyle="1" w:styleId="Heading2Char" w:type="character">
    <w:name w:val="Heading 2 Char"/>
    <w:basedOn w:val="DefaultParagraphFont"/>
    <w:link w:val="Heading2"/>
    <w:uiPriority w:val="9"/>
    <w:semiHidden/>
    <w:rsid w:val="00A10FD9"/>
    <w:rPr>
      <w:rFonts w:ascii="Times New Roman" w:cstheme="majorBidi" w:eastAsiaTheme="majorEastAsia" w:hAnsi="Times New Roman"/>
      <w:color w:val="000000"/>
      <w:sz w:val="26"/>
      <w:szCs w:val="26"/>
    </w:rPr>
  </w:style>
  <w:style w:customStyle="1" w:styleId="Heading3Char" w:type="character">
    <w:name w:val="Heading 3 Char"/>
    <w:basedOn w:val="DefaultParagraphFont"/>
    <w:link w:val="Heading3"/>
    <w:uiPriority w:val="9"/>
    <w:semiHidden/>
    <w:rsid w:val="00A10FD9"/>
    <w:rPr>
      <w:rFonts w:ascii="Times New Roman" w:cstheme="majorBidi" w:eastAsiaTheme="majorEastAsia" w:hAnsi="Times New Roman"/>
      <w:color w:val="000000"/>
      <w:sz w:val="24"/>
      <w:szCs w:val="24"/>
    </w:rPr>
  </w:style>
  <w:style w:customStyle="1" w:styleId="Heading4Char" w:type="character">
    <w:name w:val="Heading 4 Char"/>
    <w:basedOn w:val="DefaultParagraphFont"/>
    <w:link w:val="Heading4"/>
    <w:uiPriority w:val="9"/>
    <w:semiHidden/>
    <w:rsid w:val="00A10FD9"/>
    <w:rPr>
      <w:rFonts w:ascii="Times New Roman" w:cstheme="majorBidi" w:eastAsiaTheme="majorEastAsia"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heme="majorBidi" w:eastAsiaTheme="majorEastAsia" w:hAnsi="Times New Roman"/>
      <w:color w:val="000000"/>
    </w:rPr>
  </w:style>
  <w:style w:customStyle="1" w:styleId="Heading6Char" w:type="character">
    <w:name w:val="Heading 6 Char"/>
    <w:basedOn w:val="DefaultParagraphFont"/>
    <w:link w:val="Heading6"/>
    <w:uiPriority w:val="9"/>
    <w:semiHidden/>
    <w:rsid w:val="00A10FD9"/>
    <w:rPr>
      <w:rFonts w:ascii="Times New Roman" w:cstheme="majorBidi" w:eastAsiaTheme="majorEastAsia" w:hAnsi="Times New Roman"/>
      <w:i/>
      <w:iCs/>
      <w:color w:themeTint="A6" w:val="000000"/>
    </w:rPr>
  </w:style>
  <w:style w:customStyle="1" w:styleId="Heading7Char" w:type="character">
    <w:name w:val="Heading 7 Char"/>
    <w:basedOn w:val="DefaultParagraphFont"/>
    <w:link w:val="Heading7"/>
    <w:uiPriority w:val="9"/>
    <w:semiHidden/>
    <w:rsid w:val="00A10FD9"/>
    <w:rPr>
      <w:rFonts w:ascii="Times New Roman" w:cstheme="majorBidi" w:eastAsiaTheme="majorEastAsia" w:hAnsi="Times New Roman"/>
      <w:color w:themeTint="A6" w:val="000000"/>
    </w:rPr>
  </w:style>
  <w:style w:customStyle="1" w:styleId="Heading8Char" w:type="character">
    <w:name w:val="Heading 8 Char"/>
    <w:basedOn w:val="DefaultParagraphFont"/>
    <w:link w:val="Heading8"/>
    <w:uiPriority w:val="9"/>
    <w:semiHidden/>
    <w:rsid w:val="00A10FD9"/>
    <w:rPr>
      <w:rFonts w:ascii="Times New Roman" w:cstheme="majorBidi" w:eastAsiaTheme="majorEastAsia" w:hAnsi="Times New Roman"/>
      <w:i/>
      <w:iCs/>
      <w:color w:themeTint="D8" w:val="000000"/>
    </w:rPr>
  </w:style>
  <w:style w:customStyle="1" w:styleId="Heading9Char" w:type="character">
    <w:name w:val="Heading 9 Char"/>
    <w:basedOn w:val="DefaultParagraphFont"/>
    <w:link w:val="Heading9"/>
    <w:uiPriority w:val="9"/>
    <w:semiHidden/>
    <w:rsid w:val="00A10FD9"/>
    <w:rPr>
      <w:rFonts w:ascii="Times New Roman" w:cstheme="majorBidi" w:eastAsiaTheme="majorEastAsia" w:hAnsi="Times New Roman"/>
      <w:color w:themeTint="D8"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40"/>
        <w:left w:type="dxa" w:w="108"/>
        <w:bottom w:type="dxa" w:w="40"/>
        <w:right w:type="dxa" w:w="108"/>
      </w:tblCellMar>
    </w:tblPr>
    <w:tblStylePr w:type="firstRow">
      <w:tcPr>
        <w:tcBorders>
          <w:bottom w:color="auto"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heme="majorBidi" w:eastAsiaTheme="majorEastAsia"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i.org/10.17605/OSF.IO/C53W9" TargetMode="External" /><Relationship Type="http://schemas.openxmlformats.org/officeDocument/2006/relationships/hyperlink" Id="rId13" Target="https://doi.org/10.17605/OSF.IO/Z4AN5" TargetMode="External" /><Relationship Type="http://schemas.openxmlformats.org/officeDocument/2006/relationships/hyperlink" Id="rId9" Target="https://osf.io/c53w9/" TargetMode="External" /><Relationship Type="http://schemas.openxmlformats.org/officeDocument/2006/relationships/hyperlink" Id="rId15" Target="https://www.federalregister.gov/documents/2018/12/31/2018-27981/medicare-program-medicare-shared-savings-program-accountable-care-organizations-pathways-to-success" TargetMode="External" /></Relationships>
</file>

<file path=word/_rels/footnotes.xml.rels><?xml version="1.0" encoding="UTF-8"?><Relationships xmlns="http://schemas.openxmlformats.org/package/2006/relationships"><Relationship Type="http://schemas.openxmlformats.org/officeDocument/2006/relationships/hyperlink" Id="rId11" Target="https://doi.org/10.17605/OSF.IO/C53W9" TargetMode="External" /><Relationship Type="http://schemas.openxmlformats.org/officeDocument/2006/relationships/hyperlink" Id="rId13" Target="https://doi.org/10.17605/OSF.IO/Z4AN5" TargetMode="External" /><Relationship Type="http://schemas.openxmlformats.org/officeDocument/2006/relationships/hyperlink" Id="rId9" Target="https://osf.io/c53w9/" TargetMode="External" /><Relationship Type="http://schemas.openxmlformats.org/officeDocument/2006/relationships/hyperlink" Id="rId15" Target="https://www.federalregister.gov/documents/2018/12/31/2018-27981/medicare-program-medicare-shared-savings-program-accountable-care-organizations-pathways-to-succ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Multimedia Appendix 1. Early Renewal of Accountable Care Organization Agreements to Reset Benchmarks in the Medicare Shared Savings Program: Preregistered Retrospective Cohort Study</dc:title>
  <dc:creator>Samuel Thomas Harrold</dc:creator>
  <dc:language>en-US</dc:language>
  <cp:keywords/>
  <dcterms:created xsi:type="dcterms:W3CDTF">2026-10-28T17:22:14Z</dcterms:created>
  <dcterms:modified xsi:type="dcterms:W3CDTF">2026-10-28T17:22:14Z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itecolor">
    <vt:lpwstr>blue</vt:lpwstr>
  </property>
  <property fmtid="{D5CDD505-2E9C-101B-9397-08002B2CF9AE}" pid="4" name="colorlinks">
    <vt:lpwstr>True</vt:lpwstr>
  </property>
  <property fmtid="{D5CDD505-2E9C-101B-9397-08002B2CF9AE}" pid="5" name="csl">
    <vt:lpwstr>citation-style-ama.csl</vt:lpwstr>
  </property>
  <property fmtid="{D5CDD505-2E9C-101B-9397-08002B2CF9AE}" pid="6" name="date">
    <vt:lpwstr>October 2026</vt:lpwstr>
  </property>
  <property fmtid="{D5CDD505-2E9C-101B-9397-08002B2CF9AE}" pid="7" name="documentclass">
    <vt:lpwstr>article</vt:lpwstr>
  </property>
  <property fmtid="{D5CDD505-2E9C-101B-9397-08002B2CF9AE}" pid="8" name="fontsize">
    <vt:lpwstr>11pt</vt:lpwstr>
  </property>
  <property fmtid="{D5CDD505-2E9C-101B-9397-08002B2CF9AE}" pid="9" name="footer-center">
    <vt:lpwstr/>
  </property>
  <property fmtid="{D5CDD505-2E9C-101B-9397-08002B2CF9AE}" pid="10" name="footer-left">
    <vt:lpwstr>CC BY 4.0</vt:lpwstr>
  </property>
  <property fmtid="{D5CDD505-2E9C-101B-9397-08002B2CF9AE}" pid="11" name="footer-right">
    <vt:lpwstr/>
  </property>
  <property fmtid="{D5CDD505-2E9C-101B-9397-08002B2CF9AE}" pid="12" name="geometry">
    <vt:lpwstr/>
  </property>
  <property fmtid="{D5CDD505-2E9C-101B-9397-08002B2CF9AE}" pid="13" name="header-includes">
    <vt:lpwstr/>
  </property>
  <property fmtid="{D5CDD505-2E9C-101B-9397-08002B2CF9AE}" pid="14" name="header-left">
    <vt:lpwstr>Early renewal in the Medicare Shared Savings Program</vt:lpwstr>
  </property>
  <property fmtid="{D5CDD505-2E9C-101B-9397-08002B2CF9AE}" pid="15" name="header-right">
    <vt:lpwstr>October 2026</vt:lpwstr>
  </property>
  <property fmtid="{D5CDD505-2E9C-101B-9397-08002B2CF9AE}" pid="16" name="include-before">
    <vt:lpwstr/>
  </property>
  <property fmtid="{D5CDD505-2E9C-101B-9397-08002B2CF9AE}" pid="17" name="linestretch">
    <vt:lpwstr>1.3</vt:lpwstr>
  </property>
  <property fmtid="{D5CDD505-2E9C-101B-9397-08002B2CF9AE}" pid="18" name="link-bibliography">
    <vt:lpwstr>True</vt:lpwstr>
  </property>
  <property fmtid="{D5CDD505-2E9C-101B-9397-08002B2CF9AE}" pid="19" name="link-citations">
    <vt:lpwstr>True</vt:lpwstr>
  </property>
  <property fmtid="{D5CDD505-2E9C-101B-9397-08002B2CF9AE}" pid="20" name="linkcolor">
    <vt:lpwstr>blue</vt:lpwstr>
  </property>
  <property fmtid="{D5CDD505-2E9C-101B-9397-08002B2CF9AE}" pid="21" name="mainfont">
    <vt:lpwstr>lmroman10-regular.otf</vt:lpwstr>
  </property>
  <property fmtid="{D5CDD505-2E9C-101B-9397-08002B2CF9AE}" pid="22" name="mainfontoptions">
    <vt:lpwstr/>
  </property>
  <property fmtid="{D5CDD505-2E9C-101B-9397-08002B2CF9AE}" pid="23" name="monofont">
    <vt:lpwstr>lmmono10-regular.otf</vt:lpwstr>
  </property>
  <property fmtid="{D5CDD505-2E9C-101B-9397-08002B2CF9AE}" pid="24" name="numbersections">
    <vt:lpwstr>False</vt:lpwstr>
  </property>
  <property fmtid="{D5CDD505-2E9C-101B-9397-08002B2CF9AE}" pid="25" name="papersize">
    <vt:lpwstr>letter</vt:lpwstr>
  </property>
  <property fmtid="{D5CDD505-2E9C-101B-9397-08002B2CF9AE}" pid="26" name="prevent-widows">
    <vt:lpwstr>True</vt:lpwstr>
  </property>
  <property fmtid="{D5CDD505-2E9C-101B-9397-08002B2CF9AE}" pid="27" name="sansfont">
    <vt:lpwstr>lmsans10-regular.otf</vt:lpwstr>
  </property>
  <property fmtid="{D5CDD505-2E9C-101B-9397-08002B2CF9AE}" pid="28" name="sansfontoptions">
    <vt:lpwstr/>
  </property>
  <property fmtid="{D5CDD505-2E9C-101B-9397-08002B2CF9AE}" pid="29" name="table-use-row-colors">
    <vt:lpwstr>False</vt:lpwstr>
  </property>
  <property fmtid="{D5CDD505-2E9C-101B-9397-08002B2CF9AE}" pid="30" name="titlepage">
    <vt:lpwstr>False</vt:lpwstr>
  </property>
  <property fmtid="{D5CDD505-2E9C-101B-9397-08002B2CF9AE}" pid="31" name="toc">
    <vt:lpwstr>False</vt:lpwstr>
  </property>
  <property fmtid="{D5CDD505-2E9C-101B-9397-08002B2CF9AE}" pid="32" name="urlcolor">
    <vt:lpwstr>blue</vt:lpwstr>
  </property>
</Properties>
</file>