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growing with tenure</w:t>
      </w:r>
      <w:r>
        <w:t xml:space="preserve">[</w:t>
      </w:r>
      <w:hyperlink w:anchor="ref-mcwilliams2018">
        <w:r>
          <w:rPr>
            <w:rStyle w:val="Hyperlink"/>
          </w:rPr>
          <w:t xml:space="preserve">5</w:t>
        </w:r>
      </w:hyperlink>
      <w:r>
        <w:t xml:space="preserve">,</w:t>
      </w:r>
      <w:r>
        <w:t xml:space="preserve"> </w:t>
      </w:r>
      <w:hyperlink w:anchor="ref-bond2025">
        <w:r>
          <w:rPr>
            <w:rStyle w:val="Hyperlink"/>
          </w:rPr>
          <w:t xml:space="preserve">6</w:t>
        </w:r>
      </w:hyperlink>
      <w:r>
        <w:t xml:space="preserve">]</w:t>
      </w:r>
      <w:r>
        <w:t xml:space="preserve"> </w:t>
      </w:r>
      <w:r>
        <w:t xml:space="preserve">and 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because of a separate 2017 change in assignment rules became 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the likelihood of earning a bonus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without waiting for its agreement to end or leaving the program, because the final rule published in 2018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a consulting case study models the choice for a hypothetical ACO.</w:t>
      </w:r>
      <w:r>
        <w:t xml:space="preserve">[</w:t>
      </w:r>
      <w:hyperlink w:anchor="ref-milliman2025">
        <w:r>
          <w:rPr>
            <w:rStyle w:val="Hyperlink"/>
          </w:rPr>
          <w:t xml:space="preserve">26</w:t>
        </w:r>
      </w:hyperlink>
      <w:r>
        <w:t xml:space="preserve">]</w:t>
      </w:r>
      <w:r>
        <w:t xml:space="preserve"> </w:t>
      </w:r>
      <w:r>
        <w:t xml:space="preserve">Neither tests why ACOs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datasets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Values based on few beneficiaries are hidden in the results and county files, consistent with CMS’s policy of suppressing counts of 1 to 10.</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 for every coefficient,</w:t>
      </w:r>
      <w:r>
        <w:t xml:space="preserve"> </w:t>
      </w:r>
      <m:oMath>
        <m:acc>
          <m:accPr>
            <m:chr m:val="̂"/>
          </m:accPr>
          <m:e>
            <m:r>
              <m:t>R</m:t>
            </m:r>
          </m:e>
        </m:acc>
        <m:r>
          <m:rPr>
            <m:sty m:val="p"/>
          </m:rPr>
          <m:t>≤</m:t>
        </m:r>
        <m:r>
          <m:t>1.01</m:t>
        </m:r>
      </m:oMath>
      <w:r>
        <w:t xml:space="preserve"> </w:t>
      </w:r>
      <w:r>
        <w:t xml:space="preserve">and bulk and tail effective sample sizes of at least 400,</w:t>
      </w:r>
      <w:r>
        <w:t xml:space="preserve">[</w:t>
      </w:r>
      <w:hyperlink w:anchor="ref-vehtari2021">
        <w:r>
          <w:rPr>
            <w:rStyle w:val="Hyperlink"/>
          </w:rPr>
          <w:t xml:space="preserve">43</w:t>
        </w:r>
      </w:hyperlink>
      <w:r>
        <w:t xml:space="preserve">]</w:t>
      </w:r>
      <w:r>
        <w:t xml:space="preserve"> </w:t>
      </w:r>
      <w:r>
        <w:t xml:space="preserve">and no divergent transitions, 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the scale Gelman and colleagues recommend for scaled predictors but with 3 rather than 1 degree of freedom,</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the exactly linear special case of the restrictions of Rambachan and Roth</w:t>
      </w:r>
      <w:r>
        <w:t xml:space="preserve">[</w:t>
      </w:r>
      <w:hyperlink w:anchor="ref-rambachan2023">
        <w:r>
          <w:rPr>
            <w:rStyle w:val="Hyperlink"/>
          </w:rPr>
          <w:t xml:space="preserve">50</w:t>
        </w:r>
      </w:hyperlink>
      <w:r>
        <w:t xml:space="preserve">]</w:t>
      </w:r>
      <w:r>
        <w:t xml:space="preserve">) and risk-adjusted, balanced-panel, propensity-score-weighted</w:t>
      </w:r>
      <w:r>
        <w:t xml:space="preserve">[</w:t>
      </w:r>
      <w:hyperlink w:anchor="ref-callaway2021">
        <w:r>
          <w:rPr>
            <w:rStyle w:val="Hyperlink"/>
          </w:rPr>
          <w:t xml:space="preserve">47</w:t>
        </w:r>
      </w:hyperlink>
      <w:r>
        <w:t xml:space="preserve">,</w:t>
      </w:r>
      <w:r>
        <w:t xml:space="preserve"> </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 in SciPy;</w:t>
      </w:r>
      <w:r>
        <w:t xml:space="preserve">[</w:t>
      </w:r>
      <w:hyperlink w:anchor="ref-welch1947">
        <w:r>
          <w:rPr>
            <w:rStyle w:val="Hyperlink"/>
          </w:rPr>
          <w:t xml:space="preserve">52</w:t>
        </w:r>
      </w:hyperlink>
      <w:r>
        <w:t xml:space="preserve">,</w:t>
      </w:r>
      <w:r>
        <w:t xml:space="preserve"> </w:t>
      </w:r>
      <w:hyperlink w:anchor="ref-scipy2020">
        <w:r>
          <w:rPr>
            <w:rStyle w:val="Hyperlink"/>
          </w:rPr>
          <w:t xml:space="preserve">53</w:t>
        </w:r>
      </w:hyperlink>
      <w:r>
        <w:t xml:space="preserve">]</w:t>
      </w:r>
      <w:r>
        <w:t xml:space="preserve"> </w:t>
      </w:r>
      <w:r>
        <w:t xml:space="preserve">ordinary least squares with HC2 errors</w:t>
      </w:r>
      <w:r>
        <w:t xml:space="preserve">[</w:t>
      </w:r>
      <w:hyperlink w:anchor="ref-mackinnon1985">
        <w:r>
          <w:rPr>
            <w:rStyle w:val="Hyperlink"/>
          </w:rPr>
          <w:t xml:space="preserve">54</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55</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56</w:t>
        </w:r>
      </w:hyperlink>
      <w:r>
        <w:t xml:space="preserve">]</w:t>
      </w:r>
      <w:r>
        <w:t xml:space="preserve"> </w:t>
      </w:r>
      <w:r>
        <w:t xml:space="preserve">on DuckDB;</w:t>
      </w:r>
      <w:r>
        <w:t xml:space="preserve">[</w:t>
      </w:r>
      <w:hyperlink w:anchor="ref-duckdb2019">
        <w:r>
          <w:rPr>
            <w:rStyle w:val="Hyperlink"/>
          </w:rPr>
          <w:t xml:space="preserve">57</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58</w:t>
        </w:r>
      </w:hyperlink>
      <w:r>
        <w:t xml:space="preserve">]</w:t>
      </w:r>
      <w:r>
        <w:t xml:space="preserve"> </w:t>
      </w:r>
      <w:r>
        <w:t xml:space="preserve">Markov chain Monte Carlo diagnostics used ArviZ;</w:t>
      </w:r>
      <w:r>
        <w:t xml:space="preserve">[</w:t>
      </w:r>
      <w:hyperlink w:anchor="ref-arviz2019">
        <w:r>
          <w:rPr>
            <w:rStyle w:val="Hyperlink"/>
          </w:rPr>
          <w:t xml:space="preserve">59</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60</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from the author’s input, first drafts of most of the text, which the author revised and approved.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61</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effective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Medicare bundled-payment program made voluntary for half of its hospitals after 2 mandatory years, hospitals that could gain without changing their behavior were more likely to opt in, which the authors called selection on levels;</w:t>
      </w:r>
      <w:r>
        <w:t xml:space="preserve">[</w:t>
      </w:r>
      <w:hyperlink w:anchor="ref-einav2022">
        <w:r>
          <w:rPr>
            <w:rStyle w:val="Hyperlink"/>
          </w:rPr>
          <w:t xml:space="preserve">62</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 consistent with the higher prior savings rates here; it places the earlier incumbents among the early renewers at BASIC levels C to E before they renewed but does not compare levels with stayers.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differences between ACOs and their regions are sensitive to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a regional adjustment that is negative overall is not applied, and negative amounts within a positive one are reduced for ACOs with more dually eligible or higher-risk beneficiaries;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63</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64</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65</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is in the study repository at the registered commit,</w:t>
      </w:r>
      <w:r>
        <w:t xml:space="preserve">[</w:t>
      </w:r>
      <w:hyperlink w:anchor="ref-code">
        <w:r>
          <w:rPr>
            <w:rStyle w:val="Hyperlink"/>
          </w:rPr>
          <w:t xml:space="preserve">30</w:t>
        </w:r>
      </w:hyperlink>
      <w:r>
        <w:t xml:space="preserve">]</w:t>
      </w:r>
      <w:r>
        <w:t xml:space="preserve"> </w:t>
      </w:r>
      <w:r>
        <w:t xml:space="preserve">and a script that downloads and verifies them is in the repository at a later commit;</w:t>
      </w:r>
      <w:r>
        <w:t xml:space="preserve">[</w:t>
      </w:r>
      <w:hyperlink w:anchor="ref-coderepo">
        <w:r>
          <w:rPr>
            <w:rStyle w:val="Hyperlink"/>
          </w:rPr>
          <w:t xml:space="preserve">66</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65</w:t>
        </w:r>
      </w:hyperlink>
      <w:r>
        <w:t xml:space="preserve">]</w:t>
      </w:r>
      <w:r>
        <w:t xml:space="preserve"> </w:t>
      </w:r>
      <w:r>
        <w:t xml:space="preserve">The registered</w:t>
      </w:r>
      <w:r>
        <w:t xml:space="preserve"> </w:t>
      </w:r>
      <w:r>
        <w:t xml:space="preserve">analysis code (commit a4064f5) and its tests are in the study repository,</w:t>
      </w:r>
      <w:r>
        <w:t xml:space="preserve">[</w:t>
      </w:r>
      <w:hyperlink w:anchor="ref-code">
        <w:r>
          <w:rPr>
            <w:rStyle w:val="Hyperlink"/>
          </w:rPr>
          <w:t xml:space="preserve">30</w:t>
        </w:r>
      </w:hyperlink>
      <w:r>
        <w:t xml:space="preserve">]</w:t>
      </w:r>
      <w:r>
        <w:t xml:space="preserve"> </w:t>
      </w:r>
      <w:r>
        <w:t xml:space="preserve">and step-by-step instructions to rerun and adapt the analysis are in its README at the later commit.</w:t>
      </w:r>
      <w:r>
        <w:t xml:space="preserve">[</w:t>
      </w:r>
      <w:hyperlink w:anchor="ref-coderepo">
        <w:r>
          <w:rPr>
            <w:rStyle w:val="Hyperlink"/>
          </w:rPr>
          <w:t xml:space="preserve">66</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67</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202" w:name="references"/>
    <w:p>
      <w:pPr>
        <w:pStyle w:val="Heading1"/>
      </w:pPr>
      <w:r>
        <w:t xml:space="preserve">References</w:t>
      </w:r>
    </w:p>
    <w:bookmarkStart w:id="201"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w:t>
        </w:r>
      </w:hyperlink>
      <w:r>
        <w:t xml:space="preserve">. Accessed 30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JZ.</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https://doi.org/10.5281/zenodo.17863280</w:t>
        </w:r>
      </w:hyperlink>
      <w:r>
        <w:t xml:space="preserve">.</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scipy2020"/>
    <w:p>
      <w:pPr>
        <w:pStyle w:val="Bibliography"/>
      </w:pPr>
      <w:r>
        <w:t xml:space="preserve">53. Virtanen P, Gommers R, Oliphant TE, Haberland M, Reddy T, Cournapeau D, et al. SciPy 1.0: fundamental algorithms for scientific computing in Python. Nature Methods. 2020;17:261–72.</w:t>
      </w:r>
      <w:r>
        <w:t xml:space="preserve"> </w:t>
      </w:r>
      <w:hyperlink r:id="rId171">
        <w:r>
          <w:rPr>
            <w:rStyle w:val="Hyperlink"/>
          </w:rPr>
          <w:t xml:space="preserve">https://doi.org/10.1038/s41592-019-0686-2</w:t>
        </w:r>
      </w:hyperlink>
      <w:r>
        <w:t xml:space="preserve">.</w:t>
      </w:r>
    </w:p>
    <w:bookmarkEnd w:id="172"/>
    <w:bookmarkStart w:id="174" w:name="ref-mackinnon1985"/>
    <w:p>
      <w:pPr>
        <w:pStyle w:val="Bibliography"/>
      </w:pPr>
      <w:r>
        <w:t xml:space="preserve">54. MacKinnon JG, White H. Some heteroskedasticity-consistent covariance matrix estimators with improved finite sample properties. Journal of Econometrics. 1985;29:305–25.</w:t>
      </w:r>
      <w:r>
        <w:t xml:space="preserve"> </w:t>
      </w:r>
      <w:hyperlink r:id="rId173">
        <w:r>
          <w:rPr>
            <w:rStyle w:val="Hyperlink"/>
          </w:rPr>
          <w:t xml:space="preserve">https://doi.org/10.1016/0304-4076(85)90158-7</w:t>
        </w:r>
      </w:hyperlink>
      <w:r>
        <w:t xml:space="preserve">.</w:t>
      </w:r>
    </w:p>
    <w:bookmarkEnd w:id="174"/>
    <w:bookmarkStart w:id="176" w:name="ref-statsmodels2010"/>
    <w:p>
      <w:pPr>
        <w:pStyle w:val="Bibliography"/>
      </w:pPr>
      <w:r>
        <w:t xml:space="preserve">55. Seabold S, Perktold J. Statsmodels: Econometric and Statistical Modeling with Python. Proceedings of the Python in Science Conference. 2010;92–6.</w:t>
      </w:r>
      <w:r>
        <w:t xml:space="preserve"> </w:t>
      </w:r>
      <w:hyperlink r:id="rId175">
        <w:r>
          <w:rPr>
            <w:rStyle w:val="Hyperlink"/>
          </w:rPr>
          <w:t xml:space="preserve">https://doi.org/10.25080/majora-92bf1922-011</w:t>
        </w:r>
      </w:hyperlink>
      <w:r>
        <w:t xml:space="preserve">.</w:t>
      </w:r>
    </w:p>
    <w:bookmarkEnd w:id="176"/>
    <w:bookmarkStart w:id="178" w:name="ref-dbt"/>
    <w:p>
      <w:pPr>
        <w:pStyle w:val="Bibliography"/>
      </w:pPr>
      <w:r>
        <w:t xml:space="preserve">56.</w:t>
      </w:r>
      <w:r>
        <w:t xml:space="preserve"> </w:t>
      </w:r>
      <w:r>
        <w:t xml:space="preserve">dbt Labs, Wills J</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7">
        <w:r>
          <w:rPr>
            <w:rStyle w:val="Hyperlink"/>
          </w:rPr>
          <w:t xml:space="preserve">https://github.com/dbt-labs/dbt/tree/v1.12.6</w:t>
        </w:r>
      </w:hyperlink>
      <w:r>
        <w:t xml:space="preserve">. Accessed 30 Oct 2026.</w:t>
      </w:r>
    </w:p>
    <w:bookmarkEnd w:id="178"/>
    <w:bookmarkStart w:id="180" w:name="ref-duckdb2019"/>
    <w:p>
      <w:pPr>
        <w:pStyle w:val="Bibliography"/>
      </w:pPr>
      <w:r>
        <w:t xml:space="preserve">57. Raasveldt M, Mühleisen H. DuckDB: an Embeddable Analytical Database. Proceedings of the 2019 International Conference on Management of Data. 2019;1981–4.</w:t>
      </w:r>
      <w:r>
        <w:t xml:space="preserve"> </w:t>
      </w:r>
      <w:hyperlink r:id="rId179">
        <w:r>
          <w:rPr>
            <w:rStyle w:val="Hyperlink"/>
          </w:rPr>
          <w:t xml:space="preserve">https://doi.org/10.1145/3299869.3320212</w:t>
        </w:r>
      </w:hyperlink>
      <w:r>
        <w:t xml:space="preserve">.</w:t>
      </w:r>
    </w:p>
    <w:bookmarkEnd w:id="180"/>
    <w:bookmarkStart w:id="182" w:name="ref-uv"/>
    <w:p>
      <w:pPr>
        <w:pStyle w:val="Bibliography"/>
      </w:pPr>
      <w:r>
        <w:t xml:space="preserve">58.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81">
        <w:r>
          <w:rPr>
            <w:rStyle w:val="Hyperlink"/>
          </w:rPr>
          <w:t xml:space="preserve">https://github.com/astral-sh/uv</w:t>
        </w:r>
      </w:hyperlink>
      <w:r>
        <w:t xml:space="preserve">. Accessed 28 Oct 2026.</w:t>
      </w:r>
    </w:p>
    <w:bookmarkEnd w:id="182"/>
    <w:bookmarkStart w:id="184" w:name="ref-arviz2019"/>
    <w:p>
      <w:pPr>
        <w:pStyle w:val="Bibliography"/>
      </w:pPr>
      <w:r>
        <w:t xml:space="preserve">59. Kumar R, Carroll C, Hartikainen A, Martin O. ArviZ a unified library for exploratory analysis of Bayesian models in Python. Journal of Open Source Software. 2019;4:1143.</w:t>
      </w:r>
      <w:r>
        <w:t xml:space="preserve"> </w:t>
      </w:r>
      <w:hyperlink r:id="rId183">
        <w:r>
          <w:rPr>
            <w:rStyle w:val="Hyperlink"/>
          </w:rPr>
          <w:t xml:space="preserve">https://doi.org/10.21105/joss.01143</w:t>
        </w:r>
      </w:hyperlink>
      <w:r>
        <w:t xml:space="preserve">.</w:t>
      </w:r>
    </w:p>
    <w:bookmarkEnd w:id="184"/>
    <w:bookmarkStart w:id="186" w:name="ref-numpy2020"/>
    <w:p>
      <w:pPr>
        <w:pStyle w:val="Bibliography"/>
      </w:pPr>
      <w:r>
        <w:t xml:space="preserve">60. Harris CR, Millman KJ, van der Walt SJ, Gommers R, Virtanen P, Cournapeau D, et al. Array programming with NumPy. Nature. 2020;585:357–62.</w:t>
      </w:r>
      <w:r>
        <w:t xml:space="preserve"> </w:t>
      </w:r>
      <w:hyperlink r:id="rId185">
        <w:r>
          <w:rPr>
            <w:rStyle w:val="Hyperlink"/>
          </w:rPr>
          <w:t xml:space="preserve">https://doi.org/10.1038/s41586-020-2649-2</w:t>
        </w:r>
      </w:hyperlink>
      <w:r>
        <w:t xml:space="preserve">.</w:t>
      </w:r>
    </w:p>
    <w:bookmarkEnd w:id="186"/>
    <w:bookmarkStart w:id="188" w:name="ref-gelmancarlin2014"/>
    <w:p>
      <w:pPr>
        <w:pStyle w:val="Bibliography"/>
      </w:pPr>
      <w:r>
        <w:t xml:space="preserve">61. Gelman A, Carlin J. Beyond Power Calculations: Assessing Type S (Sign) and Type M (Magnitude) Errors. Perspectives on Psychological Science. 2014;9:641–51.</w:t>
      </w:r>
      <w:r>
        <w:t xml:space="preserve"> </w:t>
      </w:r>
      <w:hyperlink r:id="rId187">
        <w:r>
          <w:rPr>
            <w:rStyle w:val="Hyperlink"/>
          </w:rPr>
          <w:t xml:space="preserve">https://doi.org/10.1177/1745691614551642</w:t>
        </w:r>
      </w:hyperlink>
      <w:r>
        <w:t xml:space="preserve">.</w:t>
      </w:r>
    </w:p>
    <w:bookmarkEnd w:id="188"/>
    <w:bookmarkStart w:id="190" w:name="ref-einav2022"/>
    <w:p>
      <w:pPr>
        <w:pStyle w:val="Bibliography"/>
      </w:pPr>
      <w:r>
        <w:t xml:space="preserve">62. Einav L, Finkelstein A, Ji Y, Mahoney N. Voluntary Regulation: Evidence from Medicare Payment Reform. The Quarterly Journal of Economics. 2021;137:565–618.</w:t>
      </w:r>
      <w:r>
        <w:t xml:space="preserve"> </w:t>
      </w:r>
      <w:hyperlink r:id="rId189">
        <w:r>
          <w:rPr>
            <w:rStyle w:val="Hyperlink"/>
          </w:rPr>
          <w:t xml:space="preserve">https://doi.org/10.1093/qje/qjab035</w:t>
        </w:r>
      </w:hyperlink>
      <w:r>
        <w:t xml:space="preserve">.</w:t>
      </w:r>
    </w:p>
    <w:bookmarkEnd w:id="190"/>
    <w:bookmarkStart w:id="192" w:name="ref-aha2021"/>
    <w:p>
      <w:pPr>
        <w:pStyle w:val="Bibliography"/>
      </w:pPr>
      <w:r>
        <w:t xml:space="preserve">63.</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91">
        <w:r>
          <w:rPr>
            <w:rStyle w:val="Hyperlink"/>
          </w:rPr>
          <w:t xml:space="preserve">https://www.aha.org/lettercomment/2021-10-14-aha-others-cms-re-request-provide-mssp-acos-option-use-pre-pandemic-years</w:t>
        </w:r>
      </w:hyperlink>
      <w:r>
        <w:t xml:space="preserve">. Accessed 28 Oct 2026.</w:t>
      </w:r>
    </w:p>
    <w:bookmarkEnd w:id="192"/>
    <w:bookmarkStart w:id="194" w:name="ref-cfr46102"/>
    <w:p>
      <w:pPr>
        <w:pStyle w:val="Bibliography"/>
      </w:pPr>
      <w:r>
        <w:t xml:space="preserve">64.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3">
        <w:r>
          <w:rPr>
            <w:rStyle w:val="Hyperlink"/>
          </w:rPr>
          <w:t xml:space="preserve">https://www.ecfr.gov/on/2026-10-01/title-45/subtitle-A/subchapter-A/part-46/subpart-A/section-46.102#p-46.102%28e%29%281%29</w:t>
        </w:r>
      </w:hyperlink>
      <w:r>
        <w:t xml:space="preserve">. Accessed 28 Oct 2026.</w:t>
      </w:r>
    </w:p>
    <w:bookmarkEnd w:id="194"/>
    <w:bookmarkStart w:id="196" w:name="ref-paperrepo"/>
    <w:p>
      <w:pPr>
        <w:pStyle w:val="Bibliography"/>
      </w:pPr>
      <w:r>
        <w:t xml:space="preserve">65. Harrold ST. Early renewal of accountable care organization agreements to reset benchmarks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Preregistered retrospective cohort study (manuscript, data and code). 2026.</w:t>
      </w:r>
      <w:r>
        <w:t xml:space="preserve"> </w:t>
      </w:r>
      <w:hyperlink r:id="rId195">
        <w:r>
          <w:rPr>
            <w:rStyle w:val="Hyperlink"/>
          </w:rPr>
          <w:t xml:space="preserve">https://doi.org/10.5281/zenodo.23737045</w:t>
        </w:r>
      </w:hyperlink>
      <w:r>
        <w:t xml:space="preserve">.</w:t>
      </w:r>
    </w:p>
    <w:bookmarkEnd w:id="196"/>
    <w:bookmarkStart w:id="198" w:name="ref-coderepo"/>
    <w:p>
      <w:pPr>
        <w:pStyle w:val="Bibliography"/>
      </w:pPr>
      <w:r>
        <w:t xml:space="preserve">66. Harrold ST. Study repository for the</w:t>
      </w:r>
      <w:r>
        <w:t xml:space="preserve"> </w:t>
      </w:r>
      <w:r>
        <w:t xml:space="preserve">MSSP</w:t>
      </w:r>
      <w:r>
        <w:t xml:space="preserve"> </w:t>
      </w:r>
      <w:r>
        <w:t xml:space="preserve">early-renewal study (</w:t>
      </w:r>
      <w:r>
        <w:t xml:space="preserve">analysis/mssp-benchmark-ratchet</w:t>
      </w:r>
      <w:r>
        <w:t xml:space="preserve">), with the data download script and rerun instructions, commit a0ef82f. 2026.</w:t>
      </w:r>
      <w:r>
        <w:t xml:space="preserve"> </w:t>
      </w:r>
      <w:hyperlink r:id="rId197">
        <w:r>
          <w:rPr>
            <w:rStyle w:val="Hyperlink"/>
          </w:rPr>
          <w:t xml:space="preserve">https://github.com/stharrold/stharrold.github.io/tree/a0ef82f5c63bf1c0f26e88597355e8d7afaa9095/analysis/mssp-benchmark-ratchet</w:t>
        </w:r>
      </w:hyperlink>
      <w:r>
        <w:t xml:space="preserve">. Accessed 30 Oct 2026.</w:t>
      </w:r>
    </w:p>
    <w:bookmarkEnd w:id="198"/>
    <w:bookmarkStart w:id="200" w:name="ref-post"/>
    <w:p>
      <w:pPr>
        <w:pStyle w:val="Bibliography"/>
      </w:pPr>
      <w:r>
        <w:t xml:space="preserve">67.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9">
        <w:r>
          <w:rPr>
            <w:rStyle w:val="Hyperlink"/>
          </w:rPr>
          <w:t xml:space="preserve">https://stharrold.github.io/20261027-preregistered-mssp-early-renewal.html</w:t>
        </w:r>
      </w:hyperlink>
      <w:r>
        <w:t xml:space="preserve">. Accessed 28 Oct 2026.</w:t>
      </w:r>
    </w:p>
    <w:bookmarkEnd w:id="200"/>
    <w:bookmarkEnd w:id="201"/>
    <w:bookmarkEnd w:id="202"/>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2026-10-30T11:28:38Z</dcterms:created>
  <dcterms:modified xsi:type="dcterms:W3CDTF">2026-10-30T11:28:38Z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