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Samuel Thomas Harrold</w:t>
      </w:r>
      <w:r>
        <w:br/>
      </w:r>
      <w:r>
        <w:t xml:space="preserve">Independent researcher</w:t>
      </w:r>
      <w:r>
        <w:br/>
      </w:r>
      <w:r>
        <w:t xml:space="preserve">samuel.harrold@gmail.com</w:t>
      </w:r>
    </w:p>
    <w:p>
      <w:pPr>
        <w:pStyle w:val="BodyText"/>
      </w:pPr>
      <w:r>
        <w:t xml:space="preserve">October 2026</w:t>
      </w:r>
    </w:p>
    <w:p>
      <w:pPr>
        <w:pStyle w:val="BodyText"/>
      </w:pPr>
      <w:r>
        <w:t xml:space="preserve">The Editor</w:t>
      </w:r>
      <w:r>
        <w:br/>
      </w:r>
      <w:r>
        <w:t xml:space="preserve">Interactive Journal of Medical Research</w:t>
      </w:r>
      <w:r>
        <w:br/>
      </w:r>
      <w:r>
        <w:t xml:space="preserve">JMIR Publications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 the manuscript</w:t>
      </w:r>
      <w:r>
        <w:t xml:space="preserve"> </w:t>
      </w:r>
      <w:r>
        <w:t xml:space="preserve">“Early Renewal of Accountable Care Organization Agreements to Reset Benchmarks in the Medicare Shared Savings Program: Preregistered Retrospective Cohort Study”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Interactive Journal of Medical Research</w:t>
      </w:r>
      <w:r>
        <w:t xml:space="preserve"> </w:t>
      </w:r>
      <w:r>
        <w:t xml:space="preserve">as an Original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In the Medicare Shared Savings Program, benchmarks decide whether an accountable care organization earns shared</w:t>
      </w:r>
      <w:r>
        <w:t xml:space="preserve"> </w:t>
      </w:r>
      <w:r>
        <w:t xml:space="preserve">savings and shape which organizations join, stay and save. Earlier studies found that regional</w:t>
      </w:r>
      <w:r>
        <w:t xml:space="preserve"> </w:t>
      </w:r>
      <w:r>
        <w:t xml:space="preserve">benchmarking shifted participation toward providers with low spending relative to their regions, and that</w:t>
      </w:r>
      <w:r>
        <w:t xml:space="preserve"> </w:t>
      </w:r>
      <w:r>
        <w:t xml:space="preserve">organizations whose benchmarks fell were more likely to leave. The 2019 rules added a third choice: ending an</w:t>
      </w:r>
      <w:r>
        <w:t xml:space="preserve"> </w:t>
      </w:r>
      <w:r>
        <w:t xml:space="preserve">agreement early to reset the benchmark sooner. Twenty-nine of 334 eligible organizations did so in 2022. An industry</w:t>
      </w:r>
      <w:r>
        <w:t xml:space="preserve"> </w:t>
      </w:r>
      <w:r>
        <w:t xml:space="preserve">report has described them, but to my knowledge who used this option has not been studied in peer-reviewed work.</w:t>
      </w:r>
    </w:p>
    <w:p>
      <w:pPr>
        <w:pStyle w:val="BodyText"/>
      </w:pPr>
      <w:r>
        <w:t xml:space="preserve">The study makes three contributions. First, it extends the evidence that participation follows the benchmark formula</w:t>
      </w:r>
      <w:r>
        <w:t xml:space="preserve"> </w:t>
      </w:r>
      <w:r>
        <w:t xml:space="preserve">from whether organizations join or leave to when they reset: early renewers were already low-cost relative to their</w:t>
      </w:r>
      <w:r>
        <w:t xml:space="preserve"> </w:t>
      </w:r>
      <w:r>
        <w:t xml:space="preserve">regions and, in the BASIC track, more often bearing two-sided risk, for whom renewal was the only route to a 75%</w:t>
      </w:r>
      <w:r>
        <w:t xml:space="preserve"> </w:t>
      </w:r>
      <w:r>
        <w:t xml:space="preserve">sharing rate. Second, it finds that the intuitive account, renewing early to raise the</w:t>
      </w:r>
      <w:r>
        <w:t xml:space="preserve"> </w:t>
      </w:r>
      <w:r>
        <w:t xml:space="preserve">benchmark, does not hold on average: the own-spending part of a reset offset its regional gain, and their 2022 benchmarks, examined post hoc, averaged 1.3% below the year before. Third, spending growth after renewal did not differ</w:t>
      </w:r>
      <w:r>
        <w:t xml:space="preserve"> </w:t>
      </w:r>
      <w:r>
        <w:t xml:space="preserve">detectably. The findings also give a baseline for</w:t>
      </w:r>
      <w:r>
        <w:t xml:space="preserve"> </w:t>
      </w:r>
      <w:r>
        <w:t xml:space="preserve">evaluating the 2024 rules, which credit prior savings.</w:t>
      </w:r>
    </w:p>
    <w:p>
      <w:pPr>
        <w:pStyle w:val="BodyText"/>
      </w:pPr>
      <w:r>
        <w:t xml:space="preserve">The methods are part of the contribution. The plan, decision rules and code were registered on OSF Registries</w:t>
      </w:r>
      <w:r>
        <w:t xml:space="preserve"> </w:t>
      </w:r>
      <w:r>
        <w:t xml:space="preserve">(osf.io/c53w9) before any outcome data were read, and the code enforced that order. The unpublished counterfactual benchmark was</w:t>
      </w:r>
      <w:r>
        <w:t xml:space="preserve"> </w:t>
      </w:r>
      <w:r>
        <w:t xml:space="preserve">rebuilt from the regulation and validated before use. The registered estimates are Bayesian, with permutation and simulation tests and a decision model that carries</w:t>
      </w:r>
      <w:r>
        <w:t xml:space="preserve"> </w:t>
      </w:r>
      <w:r>
        <w:t xml:space="preserve">the rebuilt benchmark’s measurement error; every registered conclusion agreed with its conventional frequentist</w:t>
      </w:r>
      <w:r>
        <w:t xml:space="preserve"> </w:t>
      </w:r>
      <w:r>
        <w:t xml:space="preserve">counterpart, so the conclusions do not depend on the</w:t>
      </w:r>
      <w:r>
        <w:t xml:space="preserve"> </w:t>
      </w:r>
      <w:r>
        <w:t xml:space="preserve">inferential framework.</w:t>
      </w:r>
    </w:p>
    <w:p>
      <w:pPr>
        <w:pStyle w:val="BodyText"/>
      </w:pPr>
      <w:r>
        <w:t xml:space="preserve">Preprint: the manuscript was submitted to medRxiv on October 27, 2026 (MEDRXIV/2026/366643) and is in screening. It may also</w:t>
      </w:r>
      <w:r>
        <w:t xml:space="preserve"> </w:t>
      </w:r>
      <w:r>
        <w:t xml:space="preserve">be posted on JMIR Preprints. It has not been submitted to any other</w:t>
      </w:r>
      <w:r>
        <w:t xml:space="preserve"> </w:t>
      </w:r>
      <w:r>
        <w:t xml:space="preserve">journal.</w:t>
      </w:r>
    </w:p>
    <w:p>
      <w:pPr>
        <w:pStyle w:val="BodyText"/>
      </w:pPr>
      <w:r>
        <w:t xml:space="preserve">Generative AI: I used Claude Code (Anthropic) to draft the analysis code, the table and</w:t>
      </w:r>
      <w:r>
        <w:t xml:space="preserve"> </w:t>
      </w:r>
      <w:r>
        <w:t xml:space="preserve">figure scripts, and most of the text, which I revised; separate instances</w:t>
      </w:r>
      <w:r>
        <w:t xml:space="preserve"> </w:t>
      </w:r>
      <w:r>
        <w:t xml:space="preserve">reviewed the plan, code and manuscript before submission.</w:t>
      </w:r>
      <w:r>
        <w:t xml:space="preserve"> </w:t>
      </w:r>
      <w:r>
        <w:t xml:space="preserve">The submission form’s AI disclosure describes this use.</w:t>
      </w:r>
    </w:p>
    <w:p>
      <w:pPr>
        <w:pStyle w:val="BodyText"/>
      </w:pPr>
      <w:r>
        <w:t xml:space="preserve">Conflicts of interest: I am employed as a data scientist at Indiana University Health; the study was</w:t>
      </w:r>
      <w:r>
        <w:t xml:space="preserve"> </w:t>
      </w:r>
      <w:r>
        <w:t xml:space="preserve">independent of that employment, and the manuscript discloses this.</w:t>
      </w:r>
    </w:p>
    <w:p>
      <w:pPr>
        <w:pStyle w:val="BodyText"/>
      </w:pPr>
      <w:r>
        <w:t xml:space="preserve">All data, code and results are openly available. I acknowledge that the article processing fee is payable on acceptance and that I will pay it</w:t>
      </w:r>
      <w:r>
        <w:t xml:space="preserve"> </w:t>
      </w:r>
      <w:r>
        <w:t xml:space="preserve">personally.</w:t>
      </w:r>
      <w:r>
        <w:t xml:space="preserve"> </w:t>
      </w:r>
      <w:r>
        <w:t xml:space="preserve">If the manuscript is not accepted, I would welcome a transfer to another JMIR journal such as JMIRx Med.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Samuel Thomas Harrold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2026-10-28T13:55:59Z</dcterms:created>
  <dcterms:modified xsi:type="dcterms:W3CDTF">2026-10-28T13:55:59Z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