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Early Renewal of Accountable Care Organization Agreements to Reset Benchmarks in the Medicare Shared Savings Program: Preregistered Retrospective Cohort Study</w:t>
      </w:r>
    </w:p>
    <w:p>
      <w:pPr>
        <w:pStyle w:val="Author"/>
      </w:pPr>
      <w:r>
        <w:t xml:space="preserve">Samuel Thomas Harrold</w:t>
      </w:r>
    </w:p>
    <w:p>
      <w:pPr>
        <w:pStyle w:val="Date"/>
      </w:pPr>
      <w:r>
        <w:t xml:space="preserve">October 2026</w:t>
      </w:r>
    </w:p>
    <w:p>
      <w:pPr>
        <w:pStyle w:val="FirstParagraph"/>
      </w:pPr>
      <w:r>
        <w:t xml:space="preserve">Original Paper</w:t>
      </w:r>
    </w:p>
    <w:p>
      <w:pPr>
        <w:pStyle w:val="BodyText"/>
      </w:pPr>
      <w:r>
        <w:t xml:space="preserve">Samuel Thomas Harrold, Independent researcher</w:t>
      </w:r>
      <w:r>
        <w:br/>
      </w:r>
      <w:r>
        <w:t xml:space="preserve">ORCID:</w:t>
      </w:r>
      <w:r>
        <w:t xml:space="preserve"> </w:t>
      </w:r>
      <w:hyperlink r:id="rId9">
        <w:r>
          <w:rPr>
            <w:rStyle w:val="Hyperlink"/>
          </w:rPr>
          <w:t xml:space="preserve">0009-0008-4596-6921</w:t>
        </w:r>
      </w:hyperlink>
      <w:r>
        <w:br/>
      </w:r>
      <w:r>
        <w:t xml:space="preserve">Corresponding Author: Samuel Thomas Harrold,</w:t>
      </w:r>
      <w:r>
        <w:t xml:space="preserve"> </w:t>
      </w:r>
      <w:hyperlink r:id="rId10">
        <w:r>
          <w:rPr>
            <w:rStyle w:val="Hyperlink"/>
          </w:rPr>
          <w:t xml:space="preserve">samuel.harrold@gmail.com</w:t>
        </w:r>
      </w:hyperlink>
    </w:p>
    <w:p>
      <w:pPr>
        <w:pStyle w:val="BodyText"/>
      </w:pPr>
      <w:r>
        <w:rPr>
          <w:b/>
          <w:bCs/>
        </w:rPr>
        <w:t xml:space="preserve">Preregistration:</w:t>
      </w:r>
      <w:r>
        <w:t xml:space="preserve"> </w:t>
      </w:r>
      <w:r>
        <w:t xml:space="preserve">OSF Registries,</w:t>
      </w:r>
      <w:r>
        <w:t xml:space="preserve"> </w:t>
      </w:r>
      <w:hyperlink r:id="rId11">
        <w:r>
          <w:rPr>
            <w:rStyle w:val="Hyperlink"/>
          </w:rPr>
          <w:t xml:space="preserve">doi:10.17605/OSF.IO/C53W9</w:t>
        </w:r>
      </w:hyperlink>
      <w:r>
        <w:t xml:space="preserve">, registered October 26, 2026, before any outcome data were read.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t xml:space="preserve">accountable care organizations; Medicare Shared Savings Program; benchmarks; alternative payment models; preregistration; difference-in-differences; Bayesian analysis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CC BY 4.0</w:t>
      </w:r>
    </w:p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Medicare Shared Savings Program (MSSP) benchmarks are reset at each new agreement from an accountable</w:t>
      </w:r>
      <w:r>
        <w:t xml:space="preserve"> </w:t>
      </w:r>
      <w:r>
        <w:t xml:space="preserve">care organization’s (ACO’s) recent spending, adjusted toward its region. ACOs could end an agreement early to reset</w:t>
      </w:r>
      <w:r>
        <w:t xml:space="preserve"> </w:t>
      </w:r>
      <w:r>
        <w:t xml:space="preserve">sooner; which ACOs did so has not been studied in the peer-reviewed literature.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This study aimed to test whether ACOs that renewed early stood to gain more from the regional part of a</w:t>
      </w:r>
      <w:r>
        <w:t xml:space="preserve"> </w:t>
      </w:r>
      <w:r>
        <w:t xml:space="preserve">reset, and whether their spending growth differed afterward.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This preregistered retrospective cohort study included the 334 MSSP ACOs whose agreements began July 1,</w:t>
      </w:r>
      <w:r>
        <w:t xml:space="preserve"> </w:t>
      </w:r>
      <w:r>
        <w:t xml:space="preserve">2019 or January 1, 2020, using Centers for Medicare &amp; Medicaid Services (CMS) public use files (2016-2024). Plan,</w:t>
      </w:r>
      <w:r>
        <w:t xml:space="preserve"> </w:t>
      </w:r>
      <w:r>
        <w:t xml:space="preserve">decision rules and code were registered before any outcome data were read. The reset benchmark was rebuilt from 42</w:t>
      </w:r>
      <w:r>
        <w:t xml:space="preserve"> </w:t>
      </w:r>
      <w:r>
        <w:t xml:space="preserve">CFR 425.601 and validated against CMS’s published benchmarks for 101 other ACOs before use. For early renewal into a</w:t>
      </w:r>
      <w:r>
        <w:t xml:space="preserve"> </w:t>
      </w:r>
      <w:r>
        <w:t xml:space="preserve">January 1, 2022 agreement (29 ACOs vs 277 that stayed), the primary measure was the regional pull (case-mix-adjusted</w:t>
      </w:r>
      <w:r>
        <w:t xml:space="preserve"> </w:t>
      </w:r>
      <w:r>
        <w:t xml:space="preserve">regional spending relative to the current benchmark); the own-spending component of a reset and the BASIC risk level</w:t>
      </w:r>
      <w:r>
        <w:t xml:space="preserve"> </w:t>
      </w:r>
      <w:r>
        <w:t xml:space="preserve">were also examined. Groups were compared by Bayesian bootstrap and permutation tests, and early renewal was modeled by</w:t>
      </w:r>
      <w:r>
        <w:t xml:space="preserve"> </w:t>
      </w:r>
      <w:r>
        <w:t xml:space="preserve">Bayesian logistic regression with measurement error, tested by direct simulation. Per-capita spending growth in</w:t>
      </w:r>
      <w:r>
        <w:t xml:space="preserve"> </w:t>
      </w:r>
      <w:r>
        <w:t xml:space="preserve">2022-2024 was compared by difference-in-differences with a preregistered equivalence condition on pre-trends.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The rebuilt benchmark tracked CMS’s (Spearman ρ = 0.94). Relative to their current benchmarks,</w:t>
      </w:r>
      <w:r>
        <w:t xml:space="preserve"> </w:t>
      </w:r>
      <w:r>
        <w:t xml:space="preserve">early renewers’ regional spending was 3.4 percentage points higher than stayers’ (95% credible interval [CrI], 1.7</w:t>
      </w:r>
      <w:r>
        <w:t xml:space="preserve"> </w:t>
      </w:r>
      <w:r>
        <w:t xml:space="preserve">to 5.4;</w:t>
      </w:r>
      <w:r>
        <w:t xml:space="preserve"> </w:t>
      </w:r>
      <w:r>
        <w:rPr>
          <w:i/>
          <w:iCs/>
        </w:rPr>
        <w:t xml:space="preserve">P</w:t>
      </w:r>
      <w:r>
        <w:t xml:space="preserve">&lt;.001), but they were also beating their benchmarks by more (own-spending component, −2.1 points; 95%</w:t>
      </w:r>
      <w:r>
        <w:t xml:space="preserve"> </w:t>
      </w:r>
      <w:r>
        <w:t xml:space="preserve">CrI, −3.8 to −0.5), and the total expected gain did not differ (−0.5 points; 95% CrI, −2.0 to 0.8). Post hoc, CMS’s</w:t>
      </w:r>
      <w:r>
        <w:t xml:space="preserve"> </w:t>
      </w:r>
      <w:r>
        <w:t xml:space="preserve">published 2022 benchmarks for early renewers averaged 1.3% below their 2021 benchmarks. Among 206 BASIC-track ACOs,</w:t>
      </w:r>
      <w:r>
        <w:t xml:space="preserve"> </w:t>
      </w:r>
      <w:r>
        <w:t xml:space="preserve">early renewal was associated with a higher regional pull (log-odds difference per 2 SD, 1.34; 95% CrI, 0.44 to 2.30)</w:t>
      </w:r>
      <w:r>
        <w:t xml:space="preserve"> </w:t>
      </w:r>
      <w:r>
        <w:t xml:space="preserve">and a higher, two-sided BASIC level (1.34; 95% CrI, 0.38 to 2.31). Spending growth did not differ detectably</w:t>
      </w:r>
      <w:r>
        <w:t xml:space="preserve"> </w:t>
      </w:r>
      <w:r>
        <w:t xml:space="preserve">(−0.4%; 95% CrI, −4.0% to 2.5%); the equivalence condition did not hold, so this is not read as an effect.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ACOs that renewed early more often had regions that spent more relative to their</w:t>
      </w:r>
      <w:r>
        <w:t xml:space="preserve"> </w:t>
      </w:r>
      <w:r>
        <w:t xml:space="preserve">benchmarks and were more often at higher BASIC levels, for which renewal opened a 75% sharing rate; the reset did</w:t>
      </w:r>
      <w:r>
        <w:t xml:space="preserve"> </w:t>
      </w:r>
      <w:r>
        <w:t xml:space="preserve">not on average raise their benchmarks. These are associations under the 2022 rules; benchmarks set from 2024 credit prior savings. These findings extend</w:t>
      </w:r>
      <w:r>
        <w:t xml:space="preserve"> </w:t>
      </w:r>
      <w:r>
        <w:t xml:space="preserve">evidence that benchmark rules sort ACOs to the timing of resets.</w:t>
      </w:r>
    </w:p>
    <w:p>
      <w:pPr>
        <w:pStyle w:val="BodyText"/>
      </w:pPr>
      <w:r>
        <w:rPr>
          <w:b/>
          <w:bCs/>
        </w:rPr>
        <w:t xml:space="preserve">Trial Registration:</w:t>
      </w:r>
      <w:r>
        <w:t xml:space="preserve"> </w:t>
      </w:r>
      <w:r>
        <w:t xml:space="preserve">OSF Registries osf.io/c53w9; https://osf.io/c53w9</w:t>
      </w:r>
    </w:p>
    <w:bookmarkEnd w:id="12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the Medicare Shared Savings Program (MSSP), an accountable care organization (ACO) shares in savings when the</w:t>
      </w:r>
      <w:r>
        <w:t xml:space="preserve"> </w:t>
      </w:r>
      <w:r>
        <w:t xml:space="preserve">spending of its assigned beneficiaries falls below a benchmark.</w:t>
      </w:r>
      <w:r>
        <w:t xml:space="preserve">[</w:t>
      </w:r>
      <w:hyperlink w:anchor="ref-cfr425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As of January 1, 2026, 511 ACOs served 12.6</w:t>
      </w:r>
      <w:r>
        <w:t xml:space="preserve"> </w:t>
      </w:r>
      <w:r>
        <w:t xml:space="preserve">million assigned Medicare beneficiaries, and ACOs earned $4.1 billion in shared savings for 2024.</w:t>
      </w:r>
      <w:r>
        <w:t xml:space="preserve">[</w:t>
      </w:r>
      <w:hyperlink w:anchor="ref-sspfastfacts2026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How benchmarks are set therefore determines both what Medicare pays and which provider organizations take part. At</w:t>
      </w:r>
      <w:r>
        <w:t xml:space="preserve"> </w:t>
      </w:r>
      <w:r>
        <w:t xml:space="preserve">the start of each agreement period the</w:t>
      </w:r>
      <w:r>
        <w:t xml:space="preserve"> </w:t>
      </w:r>
      <w:r>
        <w:t xml:space="preserve">benchmark is reset from the ACO’s own spending in the 3 preceding years and adjusted part of the way toward the</w:t>
      </w:r>
      <w:r>
        <w:t xml:space="preserve"> </w:t>
      </w:r>
      <w:r>
        <w:t xml:space="preserve">spending of its region.</w:t>
      </w:r>
      <w:r>
        <w:t xml:space="preserve">[</w:t>
      </w:r>
      <w:hyperlink w:anchor="ref-cfr425601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 </w:t>
      </w:r>
      <w:r>
        <w:t xml:space="preserve">Evaluations have found modest savings from the program, growing with tenure and</w:t>
      </w:r>
      <w:r>
        <w:t xml:space="preserve"> </w:t>
      </w:r>
      <w:r>
        <w:t xml:space="preserve">larger in physician-group ACOs.</w:t>
      </w:r>
      <w:r>
        <w:t xml:space="preserve">[</w:t>
      </w:r>
      <w:hyperlink w:anchor="ref-mcwilliams2016">
        <w:r>
          <w:rPr>
            <w:rStyle w:val="Hyperlink"/>
          </w:rPr>
          <w:t xml:space="preserve">4</w:t>
        </w:r>
      </w:hyperlink>
      <w:r>
        <w:t xml:space="preserve">–</w:t>
      </w:r>
      <w:hyperlink w:anchor="ref-bond2025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 </w:t>
      </w:r>
      <w:r>
        <w:t xml:space="preserve">Whether selection, of clinicians,</w:t>
      </w:r>
      <w:r>
        <w:t xml:space="preserve"> </w:t>
      </w:r>
      <w:r>
        <w:t xml:space="preserve">beneficiaries or whole ACOs, shapes those estimates has been examined with differing results: one analysis found no</w:t>
      </w:r>
      <w:r>
        <w:t xml:space="preserve"> </w:t>
      </w:r>
      <w:r>
        <w:t xml:space="preserve">evidence of favorable risk selection in the original program,</w:t>
      </w:r>
      <w:r>
        <w:t xml:space="preserve">[</w:t>
      </w:r>
      <w:hyperlink w:anchor="ref-mcwilliams202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while another found that accounting</w:t>
      </w:r>
      <w:r>
        <w:t xml:space="preserve"> </w:t>
      </w:r>
      <w:r>
        <w:t xml:space="preserve">for the nonrandom exit of high-cost clinicians removed the estimated savings,</w:t>
      </w:r>
      <w:r>
        <w:t xml:space="preserve">[</w:t>
      </w:r>
      <w:hyperlink w:anchor="ref-markovitz2019exit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 </w:t>
      </w:r>
      <w:r>
        <w:t xml:space="preserve">and risk-adjustment</w:t>
      </w:r>
      <w:r>
        <w:t xml:space="preserve"> </w:t>
      </w:r>
      <w:r>
        <w:t xml:space="preserve">rules may lead ACOs to drop high-risk beneficiaries.</w:t>
      </w:r>
      <w:r>
        <w:t xml:space="preserve">[</w:t>
      </w:r>
      <w:hyperlink w:anchor="ref-markovitz2019risk">
        <w:r>
          <w:rPr>
            <w:rStyle w:val="Hyperlink"/>
          </w:rPr>
          <w:t xml:space="preserve">9</w:t>
        </w:r>
      </w:hyperlink>
      <w:r>
        <w:t xml:space="preserve">]</w:t>
      </w:r>
    </w:p>
    <w:p>
      <w:pPr>
        <w:pStyle w:val="BodyText"/>
      </w:pPr>
      <w:r>
        <w:t xml:space="preserve">Benchmarks shape the program through 2 channels. The first is the incentive to save. Rebasing to an ACO’s own</w:t>
      </w:r>
      <w:r>
        <w:t xml:space="preserve"> </w:t>
      </w:r>
      <w:r>
        <w:t xml:space="preserve">recent spending weakens its incentive to save, and under earlier weights it rewarded higher spending just before a</w:t>
      </w:r>
      <w:r>
        <w:t xml:space="preserve"> </w:t>
      </w:r>
      <w:r>
        <w:t xml:space="preserve">new agreement;</w:t>
      </w:r>
      <w:r>
        <w:t xml:space="preserve">[</w:t>
      </w:r>
      <w:hyperlink w:anchor="ref-douven2015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 </w:t>
      </w:r>
      <w:r>
        <w:t xml:space="preserve">this is the ratchet effect that arises whenever targets are set from past</w:t>
      </w:r>
      <w:r>
        <w:t xml:space="preserve"> </w:t>
      </w:r>
      <w:r>
        <w:t xml:space="preserve">performance.</w:t>
      </w:r>
      <w:r>
        <w:t xml:space="preserve">[</w:t>
      </w:r>
      <w:hyperlink w:anchor="ref-weitzman1980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 </w:t>
      </w:r>
      <w:r>
        <w:t xml:space="preserve">In the MSSP, savings rates were higher in years whose spending did not enter a future</w:t>
      </w:r>
      <w:r>
        <w:t xml:space="preserve"> </w:t>
      </w:r>
      <w:r>
        <w:t xml:space="preserve">benchmark.</w:t>
      </w:r>
      <w:r>
        <w:t xml:space="preserve">[</w:t>
      </w:r>
      <w:hyperlink w:anchor="ref-cappello2026">
        <w:r>
          <w:rPr>
            <w:rStyle w:val="Hyperlink"/>
          </w:rPr>
          <w:t xml:space="preserve">12</w:t>
        </w:r>
      </w:hyperlink>
      <w:r>
        <w:t xml:space="preserve">]</w:t>
      </w:r>
    </w:p>
    <w:p>
      <w:pPr>
        <w:pStyle w:val="BodyText"/>
      </w:pPr>
      <w:r>
        <w:t xml:space="preserve">The second channel is selection: benchmark rules change which ACOs join, stay and take on risk. ACOs’ spending varies</w:t>
      </w:r>
      <w:r>
        <w:t xml:space="preserve"> </w:t>
      </w:r>
      <w:r>
        <w:t xml:space="preserve">widely relative to their regions even after risk adjustment, so moving benchmarks toward regional averages shifts them</w:t>
      </w:r>
      <w:r>
        <w:t xml:space="preserve"> </w:t>
      </w:r>
      <w:r>
        <w:t xml:space="preserve">unevenly.</w:t>
      </w:r>
      <w:r>
        <w:t xml:space="preserve">[</w:t>
      </w:r>
      <w:hyperlink w:anchor="ref-rose2016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 </w:t>
      </w:r>
      <w:r>
        <w:t xml:space="preserve">After regional spending entered benchmarks in 2017, participation shifted toward</w:t>
      </w:r>
      <w:r>
        <w:t xml:space="preserve"> </w:t>
      </w:r>
      <w:r>
        <w:t xml:space="preserve">providers whose spending was low relative to their region,</w:t>
      </w:r>
      <w:r>
        <w:t xml:space="preserve">[</w:t>
      </w:r>
      <w:hyperlink w:anchor="ref-lyu2023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ACOs whose effective benchmarks fell became</w:t>
      </w:r>
      <w:r>
        <w:t xml:space="preserve"> </w:t>
      </w:r>
      <w:r>
        <w:t xml:space="preserve">more likely to leave,</w:t>
      </w:r>
      <w:r>
        <w:t xml:space="preserve">[</w:t>
      </w:r>
      <w:hyperlink w:anchor="ref-chen2025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 </w:t>
      </w:r>
      <w:r>
        <w:t xml:space="preserve">ACOs with a positive regional adjustment were less likely to exit,</w:t>
      </w:r>
      <w:r>
        <w:t xml:space="preserve">[</w:t>
      </w:r>
      <w:hyperlink w:anchor="ref-cappello2026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 </w:t>
      </w:r>
      <w:r>
        <w:t xml:space="preserve">and bonuses rose for ACOs across the efficiency spectrum.</w:t>
      </w:r>
      <w:r>
        <w:t xml:space="preserve">[</w:t>
      </w:r>
      <w:hyperlink w:anchor="ref-srivastava2026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 </w:t>
      </w:r>
      <w:r>
        <w:t xml:space="preserve">Survival in</w:t>
      </w:r>
      <w:r>
        <w:t xml:space="preserve"> </w:t>
      </w:r>
      <w:r>
        <w:t xml:space="preserve">the program has been associated with earning bonuses, higher benchmarks and one-sided risk,</w:t>
      </w:r>
      <w:r>
        <w:t xml:space="preserve">[</w:t>
      </w:r>
      <w:hyperlink w:anchor="ref-bleser2019">
        <w:r>
          <w:rPr>
            <w:rStyle w:val="Hyperlink"/>
          </w:rPr>
          <w:t xml:space="preserve">17</w:t>
        </w:r>
      </w:hyperlink>
      <w:r>
        <w:t xml:space="preserve">]</w:t>
      </w:r>
      <w:r>
        <w:t xml:space="preserve"> </w:t>
      </w:r>
      <w:r>
        <w:t xml:space="preserve">and larger</w:t>
      </w:r>
      <w:r>
        <w:t xml:space="preserve"> </w:t>
      </w:r>
      <w:r>
        <w:t xml:space="preserve">ACOs, those with supporting organizations and better performers were more likely to switch to two-sided</w:t>
      </w:r>
      <w:r>
        <w:t xml:space="preserve"> </w:t>
      </w:r>
      <w:r>
        <w:t xml:space="preserve">risk.</w:t>
      </w:r>
      <w:r>
        <w:t xml:space="preserve">[</w:t>
      </w:r>
      <w:hyperlink w:anchor="ref-zhu2023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 </w:t>
      </w:r>
      <w:r>
        <w:t xml:space="preserve">The 2019 Pathways to Success rules, which shortened the time ACOs could stay in one-sided risk, were</w:t>
      </w:r>
      <w:r>
        <w:t xml:space="preserve"> </w:t>
      </w:r>
      <w:r>
        <w:t xml:space="preserve">followed by more exits than entries,</w:t>
      </w:r>
      <w:r>
        <w:t xml:space="preserve">[</w:t>
      </w:r>
      <w:hyperlink w:anchor="ref-ying2023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 </w:t>
      </w:r>
      <w:r>
        <w:t xml:space="preserve">by ACO leaders reassessing potential savings against</w:t>
      </w:r>
      <w:r>
        <w:t xml:space="preserve"> </w:t>
      </w:r>
      <w:r>
        <w:t xml:space="preserve">losses,</w:t>
      </w:r>
      <w:r>
        <w:t xml:space="preserve">[</w:t>
      </w:r>
      <w:hyperlink w:anchor="ref-ying2024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 </w:t>
      </w:r>
      <w:r>
        <w:t xml:space="preserve">and by departures with projected costs to Medicare.</w:t>
      </w:r>
      <w:r>
        <w:t xml:space="preserve">[</w:t>
      </w:r>
      <w:hyperlink w:anchor="ref-moloci2021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 </w:t>
      </w:r>
      <w:r>
        <w:t xml:space="preserve">In a related model, most ACO</w:t>
      </w:r>
      <w:r>
        <w:t xml:space="preserve"> </w:t>
      </w:r>
      <w:r>
        <w:t xml:space="preserve">Investment Model ACOs exited once downside risk was required.</w:t>
      </w:r>
      <w:r>
        <w:t xml:space="preserve">[</w:t>
      </w:r>
      <w:hyperlink w:anchor="ref-trombley2022">
        <w:r>
          <w:rPr>
            <w:rStyle w:val="Hyperlink"/>
          </w:rPr>
          <w:t xml:space="preserve">22</w:t>
        </w:r>
      </w:hyperlink>
      <w:r>
        <w:t xml:space="preserve">]</w:t>
      </w:r>
      <w:r>
        <w:t xml:space="preserve"> </w:t>
      </w:r>
      <w:r>
        <w:t xml:space="preserve">This literature describes how benchmark</w:t>
      </w:r>
      <w:r>
        <w:t xml:space="preserve"> </w:t>
      </w:r>
      <w:r>
        <w:t xml:space="preserve">rules sort ACOs into joining, staying, leaving and taking on risk, and how rebasing weakens the incentive to save</w:t>
      </w:r>
      <w:r>
        <w:t xml:space="preserve"> </w:t>
      </w:r>
      <w:r>
        <w:t xml:space="preserve">within an agreement; it has not examined when ACOs choose to reset.</w:t>
      </w:r>
    </w:p>
    <w:p>
      <w:pPr>
        <w:pStyle w:val="BodyText"/>
      </w:pPr>
      <w:r>
        <w:t xml:space="preserve">The same rules allowed an ACO to end its agreement early and begin a new one, which resets the benchmark</w:t>
      </w:r>
      <w:r>
        <w:t xml:space="preserve"> </w:t>
      </w:r>
      <w:r>
        <w:t xml:space="preserve">early.</w:t>
      </w:r>
      <w:r>
        <w:t xml:space="preserve">[</w:t>
      </w:r>
      <w:hyperlink w:anchor="ref-cfr425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For an ACO in the BASIC track, renewal was also the only way into the ENHANCED track before its</w:t>
      </w:r>
      <w:r>
        <w:t xml:space="preserve"> </w:t>
      </w:r>
      <w:r>
        <w:t xml:space="preserve">agreement ended, because the 2018 rule bars moving from BASIC to ENHANCED within an agreement period;</w:t>
      </w:r>
      <w:r>
        <w:t xml:space="preserve">[</w:t>
      </w:r>
      <w:hyperlink w:anchor="ref-frpathways">
        <w:r>
          <w:rPr>
            <w:rStyle w:val="Hyperlink"/>
          </w:rPr>
          <w:t xml:space="preserve">23</w:t>
        </w:r>
      </w:hyperlink>
      <w:r>
        <w:t xml:space="preserve">]</w:t>
      </w:r>
      <w:r>
        <w:t xml:space="preserve"> </w:t>
      </w:r>
      <w:r>
        <w:t xml:space="preserve">ENHANCED shares 75% of savings, against at most 50% in BASIC.</w:t>
      </w:r>
      <w:r>
        <w:t xml:space="preserve">[</w:t>
      </w:r>
      <w:hyperlink w:anchor="ref-cfr425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Of the 334 ACOs whose agreements began July 1,</w:t>
      </w:r>
      <w:r>
        <w:t xml:space="preserve"> </w:t>
      </w:r>
      <w:r>
        <w:t xml:space="preserve">2019 or January 1, 2020, 29 ended them early and began new agreements on January 1, 2022.</w:t>
      </w:r>
      <w:r>
        <w:t xml:space="preserve">[</w:t>
      </w:r>
      <w:hyperlink w:anchor="ref-dataacos">
        <w:r>
          <w:rPr>
            <w:rStyle w:val="Hyperlink"/>
          </w:rPr>
          <w:t xml:space="preserve">24</w:t>
        </w:r>
      </w:hyperlink>
      <w:r>
        <w:t xml:space="preserve">]</w:t>
      </w:r>
      <w:r>
        <w:t xml:space="preserve"> </w:t>
      </w:r>
      <w:r>
        <w:t xml:space="preserve">An industry</w:t>
      </w:r>
      <w:r>
        <w:t xml:space="preserve"> </w:t>
      </w:r>
      <w:r>
        <w:t xml:space="preserve">report found that ACOs rebasing early in 2022 had higher gross savings rates beforehand than ACOs that did not, and</w:t>
      </w:r>
      <w:r>
        <w:t xml:space="preserve"> </w:t>
      </w:r>
      <w:r>
        <w:t xml:space="preserve">that the earlier incumbents among them moved from BASIC to ENHANCED,</w:t>
      </w:r>
      <w:r>
        <w:t xml:space="preserve">[</w:t>
      </w:r>
      <w:hyperlink w:anchor="ref-milliman2024">
        <w:r>
          <w:rPr>
            <w:rStyle w:val="Hyperlink"/>
          </w:rPr>
          <w:t xml:space="preserve">25</w:t>
        </w:r>
      </w:hyperlink>
      <w:r>
        <w:t xml:space="preserve">]</w:t>
      </w:r>
      <w:r>
        <w:t xml:space="preserve"> </w:t>
      </w:r>
      <w:r>
        <w:t xml:space="preserve">and consulting analyses model the</w:t>
      </w:r>
      <w:r>
        <w:t xml:space="preserve"> </w:t>
      </w:r>
      <w:r>
        <w:t xml:space="preserve">choice for individual ACOs.</w:t>
      </w:r>
      <w:r>
        <w:t xml:space="preserve">[</w:t>
      </w:r>
      <w:hyperlink w:anchor="ref-milliman2025">
        <w:r>
          <w:rPr>
            <w:rStyle w:val="Hyperlink"/>
          </w:rPr>
          <w:t xml:space="preserve">26</w:t>
        </w:r>
      </w:hyperlink>
      <w:r>
        <w:t xml:space="preserve">]</w:t>
      </w:r>
      <w:r>
        <w:t xml:space="preserve"> </w:t>
      </w:r>
      <w:r>
        <w:t xml:space="preserve">These sources describe the early renewers but do not test why they</w:t>
      </w:r>
      <w:r>
        <w:t xml:space="preserve"> </w:t>
      </w:r>
      <w:r>
        <w:t xml:space="preserve">renewed. Early renewal joins the two strands above: it is a choice of when rebasing happens, made under rules that</w:t>
      </w:r>
      <w:r>
        <w:t xml:space="preserve"> </w:t>
      </w:r>
      <w:r>
        <w:t xml:space="preserve">reward ACOs whose regions spend more. To the author’s knowledge, which ACOs used the option has not been studied in</w:t>
      </w:r>
      <w:r>
        <w:t xml:space="preserve"> </w:t>
      </w:r>
      <w:r>
        <w:t xml:space="preserve">the peer-reviewed literature.</w:t>
      </w:r>
    </w:p>
    <w:p>
      <w:pPr>
        <w:pStyle w:val="BodyText"/>
      </w:pPr>
      <w:r>
        <w:t xml:space="preserve">Two motives predict early renewal. Under a</w:t>
      </w:r>
      <w:r>
        <w:t xml:space="preserve"> </w:t>
      </w:r>
      <w:r>
        <w:rPr>
          <w:i/>
          <w:iCs/>
        </w:rPr>
        <w:t xml:space="preserve">reset motive</w:t>
      </w:r>
      <w:r>
        <w:t xml:space="preserve">, an ACO renews because its new benchmark would be</w:t>
      </w:r>
      <w:r>
        <w:t xml:space="preserve"> </w:t>
      </w:r>
      <w:r>
        <w:t xml:space="preserve">higher. Under a</w:t>
      </w:r>
      <w:r>
        <w:t xml:space="preserve"> </w:t>
      </w:r>
      <w:r>
        <w:rPr>
          <w:i/>
          <w:iCs/>
        </w:rPr>
        <w:t xml:space="preserve">sharing-rate motive</w:t>
      </w:r>
      <w:r>
        <w:t xml:space="preserve">, a BASIC-track ACO renews to reach ENHANCED. The savings rate cannot separate</w:t>
      </w:r>
      <w:r>
        <w:t xml:space="preserve"> </w:t>
      </w:r>
      <w:r>
        <w:t xml:space="preserve">them: an ACO beating its benchmark would lose on the own-spending part of a reset, yet may gain on the regional part</w:t>
      </w:r>
      <w:r>
        <w:t xml:space="preserve"> </w:t>
      </w:r>
      <w:r>
        <w:t xml:space="preserve">if its region spends more. This study therefore took as its primary test the</w:t>
      </w:r>
      <w:r>
        <w:t xml:space="preserve"> </w:t>
      </w:r>
      <w:r>
        <w:rPr>
          <w:i/>
          <w:iCs/>
        </w:rPr>
        <w:t xml:space="preserve">regional pull</w:t>
      </w:r>
      <w:r>
        <w:t xml:space="preserve">, a measure of how</w:t>
      </w:r>
      <w:r>
        <w:t xml:space="preserve"> </w:t>
      </w:r>
      <w:r>
        <w:t xml:space="preserve">far an ACO’s case-mix-adjusted regional spending sat above its current benchmark, which contains no term for the</w:t>
      </w:r>
      <w:r>
        <w:t xml:space="preserve"> </w:t>
      </w:r>
      <w:r>
        <w:t xml:space="preserve">ACO’s own benchmark-year spending. It asked whether early renewers stood to gain more from the regional part of a</w:t>
      </w:r>
      <w:r>
        <w:t xml:space="preserve"> </w:t>
      </w:r>
      <w:r>
        <w:t xml:space="preserve">reset than ACOs that stayed, which characteristics were associated with early renewal, and whether early renewers’</w:t>
      </w:r>
      <w:r>
        <w:t xml:space="preserve"> </w:t>
      </w:r>
      <w:r>
        <w:t xml:space="preserve">spending growth differed afterward. In doing so it tests whether the selection found for joining and leaving extends</w:t>
      </w:r>
      <w:r>
        <w:t xml:space="preserve"> </w:t>
      </w:r>
      <w:r>
        <w:t xml:space="preserve">to when ACOs reset, and whether the intuitive account of early renewal, resetting to raise the benchmark, holds on</w:t>
      </w:r>
      <w:r>
        <w:t xml:space="preserve"> </w:t>
      </w:r>
      <w:r>
        <w:t xml:space="preserve">average. The analysis plan, hypotheses, decision rules and code were registered before</w:t>
      </w:r>
      <w:r>
        <w:t xml:space="preserve"> </w:t>
      </w:r>
      <w:r>
        <w:t xml:space="preserve">any outcome value was read.</w:t>
      </w:r>
      <w:r>
        <w:t xml:space="preserve">[</w:t>
      </w:r>
      <w:hyperlink w:anchor="ref-registration">
        <w:r>
          <w:rPr>
            <w:rStyle w:val="Hyperlink"/>
          </w:rPr>
          <w:t xml:space="preserve">27</w:t>
        </w:r>
      </w:hyperlink>
      <w:r>
        <w:t xml:space="preserve">]</w:t>
      </w:r>
      <w:r>
        <w:t xml:space="preserve"> </w:t>
      </w:r>
      <w:r>
        <w:t xml:space="preserve">Associations with pre-decision characteristics bear on the motives but</w:t>
      </w:r>
      <w:r>
        <w:t xml:space="preserve"> </w:t>
      </w:r>
      <w:r>
        <w:t xml:space="preserve">cannot establish them, and no test here can separate the two motives.</w:t>
      </w:r>
    </w:p>
    <w:bookmarkEnd w:id="13"/>
    <w:bookmarkStart w:id="33" w:name="methods"/>
    <w:p>
      <w:pPr>
        <w:pStyle w:val="Heading1"/>
      </w:pPr>
      <w:r>
        <w:t xml:space="preserve">Methods</w:t>
      </w:r>
    </w:p>
    <w:bookmarkStart w:id="14" w:name="study-design-and-preregistration"/>
    <w:p>
      <w:pPr>
        <w:pStyle w:val="Heading2"/>
      </w:pPr>
      <w:r>
        <w:t xml:space="preserve">Study Design and Preregistration</w:t>
      </w:r>
    </w:p>
    <w:p>
      <w:pPr>
        <w:pStyle w:val="FirstParagraph"/>
      </w:pPr>
      <w:r>
        <w:t xml:space="preserve">This is a preregistered retrospective cohort study of ACO-level public data, reported following the Strengthening</w:t>
      </w:r>
      <w:r>
        <w:t xml:space="preserve"> </w:t>
      </w:r>
      <w:r>
        <w:t xml:space="preserve">the Reporting of Observational Studies in Epidemiology (STROBE) guideline</w:t>
      </w:r>
      <w:r>
        <w:t xml:space="preserve">[</w:t>
      </w:r>
      <w:hyperlink w:anchor="ref-vonelm2007">
        <w:r>
          <w:rPr>
            <w:rStyle w:val="Hyperlink"/>
          </w:rPr>
          <w:t xml:space="preserve">28</w:t>
        </w:r>
      </w:hyperlink>
      <w:r>
        <w:t xml:space="preserve">]</w:t>
      </w:r>
      <w:r>
        <w:t xml:space="preserve"> </w:t>
      </w:r>
      <w:r>
        <w:t xml:space="preserve">(checklist in Multimedia Appendix 2). The analysis plan and the code commit that implements it were registered on OSF (Open Science Framework) Registries on October 26, 2026,</w:t>
      </w:r>
      <w:r>
        <w:t xml:space="preserve"> </w:t>
      </w:r>
      <w:r>
        <w:t xml:space="preserve">13:22 UTC, with the plan’s SHA-256 hash recorded.</w:t>
      </w:r>
      <w:r>
        <w:t xml:space="preserve">[</w:t>
      </w:r>
      <w:hyperlink w:anchor="ref-registration">
        <w:r>
          <w:rPr>
            <w:rStyle w:val="Hyperlink"/>
          </w:rPr>
          <w:t xml:space="preserve">27</w:t>
        </w:r>
      </w:hyperlink>
      <w:r>
        <w:t xml:space="preserve">,</w:t>
      </w:r>
      <w:hyperlink w:anchor="ref-code">
        <w:r>
          <w:rPr>
            <w:rStyle w:val="Hyperlink"/>
          </w:rPr>
          <w:t xml:space="preserve">29</w:t>
        </w:r>
      </w:hyperlink>
      <w:r>
        <w:t xml:space="preserve">]</w:t>
      </w:r>
      <w:r>
        <w:t xml:space="preserve"> </w:t>
      </w:r>
      <w:r>
        <w:t xml:space="preserve">Before registration only the enrollment</w:t>
      </w:r>
      <w:r>
        <w:t xml:space="preserve"> </w:t>
      </w:r>
      <w:r>
        <w:t xml:space="preserve">files, the Centers for Medicare &amp; Medicaid Services (CMS) data dictionaries, the regulation text and the column names (not the values) of the outcome files</w:t>
      </w:r>
      <w:r>
        <w:t xml:space="preserve"> </w:t>
      </w:r>
      <w:r>
        <w:t xml:space="preserve">were used. The enrollment files include each ACO’s track and BASIC level, so the H3 prediction for the BASIC level</w:t>
      </w:r>
      <w:r>
        <w:t xml:space="preserve"> </w:t>
      </w:r>
      <w:r>
        <w:t xml:space="preserve">was made with those data available: it is preregistered but not blind to them. No savings rate, spending value,</w:t>
      </w:r>
      <w:r>
        <w:t xml:space="preserve"> </w:t>
      </w:r>
      <w:r>
        <w:t xml:space="preserve">benchmark or constructed variable was seen. The registry’s own timestamp, rather than the repository’s commit dates,</w:t>
      </w:r>
      <w:r>
        <w:t xml:space="preserve"> </w:t>
      </w:r>
      <w:r>
        <w:t xml:space="preserve">establishes that order. The code</w:t>
      </w:r>
      <w:r>
        <w:t xml:space="preserve"> </w:t>
      </w:r>
      <w:r>
        <w:t xml:space="preserve">also enforced it: every data file is hashed before it is read, and any file whose hash matches a performance-year</w:t>
      </w:r>
      <w:r>
        <w:t xml:space="preserve"> </w:t>
      </w:r>
      <w:r>
        <w:t xml:space="preserve">results file, a county spending file or the county assignment file could not be opened until the registration record</w:t>
      </w:r>
      <w:r>
        <w:t xml:space="preserve"> </w:t>
      </w:r>
      <w:r>
        <w:t xml:space="preserve">existed. The pipeline was written and tested on synthetic data with planted effects before registration. Analyses ran</w:t>
      </w:r>
      <w:r>
        <w:t xml:space="preserve"> </w:t>
      </w:r>
      <w:r>
        <w:t xml:space="preserve">in stages that each refused to start until the outputs they depend on existed: the power analysis was committed before</w:t>
      </w:r>
      <w:r>
        <w:t xml:space="preserve"> </w:t>
      </w:r>
      <w:r>
        <w:t xml:space="preserve">any confirmatory estimate, the robustness results (which depend only on validation and power) were committed before</w:t>
      </w:r>
      <w:r>
        <w:t xml:space="preserve"> </w:t>
      </w:r>
      <w:r>
        <w:t xml:space="preserve">the confirmatory results and read only together with them, and every results file was committed before its</w:t>
      </w:r>
      <w:r>
        <w:t xml:space="preserve"> </w:t>
      </w:r>
      <w:r>
        <w:t xml:space="preserve">estimates were read.</w:t>
      </w:r>
    </w:p>
    <w:bookmarkEnd w:id="14"/>
    <w:bookmarkStart w:id="15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Four CMS public use files were used, all aggregate at the ACO or county level:</w:t>
      </w:r>
      <w:r>
        <w:t xml:space="preserve">[</w:t>
      </w:r>
      <w:hyperlink w:anchor="ref-dataacos">
        <w:r>
          <w:rPr>
            <w:rStyle w:val="Hyperlink"/>
          </w:rPr>
          <w:t xml:space="preserve">24</w:t>
        </w:r>
      </w:hyperlink>
      <w:r>
        <w:t xml:space="preserve">,</w:t>
      </w:r>
      <w:hyperlink w:anchor="ref-dataresults">
        <w:r>
          <w:rPr>
            <w:rStyle w:val="Hyperlink"/>
          </w:rPr>
          <w:t xml:space="preserve">30</w:t>
        </w:r>
      </w:hyperlink>
      <w:r>
        <w:t xml:space="preserve">–</w:t>
      </w:r>
      <w:hyperlink w:anchor="ref-dataassigned">
        <w:r>
          <w:rPr>
            <w:rStyle w:val="Hyperlink"/>
          </w:rPr>
          <w:t xml:space="preserve">32</w:t>
        </w:r>
      </w:hyperlink>
      <w:r>
        <w:t xml:space="preserve">]</w:t>
      </w:r>
      <w:r>
        <w:t xml:space="preserve"> </w:t>
      </w:r>
      <w:r>
        <w:t xml:space="preserve">MSSP ACO enrollment files for PY2016-PY2024, performance-year (PY) financial and quality results for</w:t>
      </w:r>
      <w:r>
        <w:t xml:space="preserve"> </w:t>
      </w:r>
      <w:r>
        <w:t xml:space="preserve">PY2016-PY2024 (PY2023 and PY2024 only for the spending analysis), county-level expenditure and risk-score data on</w:t>
      </w:r>
      <w:r>
        <w:t xml:space="preserve"> </w:t>
      </w:r>
      <w:r>
        <w:t xml:space="preserve">assignable beneficiaries for 2019-2021, and counts of ACO-assigned beneficiaries by county for 2021. The 40 files</w:t>
      </w:r>
      <w:r>
        <w:t xml:space="preserve"> </w:t>
      </w:r>
      <w:r>
        <w:t xml:space="preserve">downloaded on October 22, 2026, each recorded with its size, SHA-256 hash and URL, also include files kept from the</w:t>
      </w:r>
      <w:r>
        <w:t xml:space="preserve"> </w:t>
      </w:r>
      <w:r>
        <w:t xml:space="preserve">design stage that no analysis reads; an archived copy of the snapshot is on OSF.</w:t>
      </w:r>
      <w:r>
        <w:t xml:space="preserve">[</w:t>
      </w:r>
      <w:hyperlink w:anchor="ref-osfproject">
        <w:r>
          <w:rPr>
            <w:rStyle w:val="Hyperlink"/>
          </w:rPr>
          <w:t xml:space="preserve">33</w:t>
        </w:r>
      </w:hyperlink>
      <w:r>
        <w:t xml:space="preserve">]</w:t>
      </w:r>
      <w:r>
        <w:t xml:space="preserve"> </w:t>
      </w:r>
      <w:r>
        <w:t xml:space="preserve">Cells with counts of 1</w:t>
      </w:r>
      <w:r>
        <w:t xml:space="preserve"> </w:t>
      </w:r>
      <w:r>
        <w:t xml:space="preserve">to 10 are suppressed in these files.</w:t>
      </w:r>
      <w:r>
        <w:t xml:space="preserve">[</w:t>
      </w:r>
      <w:hyperlink w:anchor="ref-suppression">
        <w:r>
          <w:rPr>
            <w:rStyle w:val="Hyperlink"/>
          </w:rPr>
          <w:t xml:space="preserve">34</w:t>
        </w:r>
      </w:hyperlink>
      <w:r>
        <w:t xml:space="preserve">]</w:t>
      </w:r>
    </w:p>
    <w:bookmarkEnd w:id="15"/>
    <w:bookmarkStart w:id="16" w:name="population-and-groups"/>
    <w:p>
      <w:pPr>
        <w:pStyle w:val="Heading2"/>
      </w:pPr>
      <w:r>
        <w:t xml:space="preserve">Population and Groups</w:t>
      </w:r>
    </w:p>
    <w:p>
      <w:pPr>
        <w:pStyle w:val="FirstParagraph"/>
      </w:pPr>
      <w:r>
        <w:t xml:space="preserve">The base population was the 334 ACOs whose PY2021 enrollment record showed an agreement start of July 1, 2019 (189</w:t>
      </w:r>
      <w:r>
        <w:t xml:space="preserve"> </w:t>
      </w:r>
      <w:r>
        <w:t xml:space="preserve">ACOs) or January 1, 2020 (145 ACOs). Both cohorts’ agreements end December 31, 2024, so an ACO from either cohort with</w:t>
      </w:r>
      <w:r>
        <w:t xml:space="preserve"> </w:t>
      </w:r>
      <w:r>
        <w:t xml:space="preserve">a January 1, 2022 agreement in the PY2022 enrollment file had renewed early.</w:t>
      </w:r>
      <w:r>
        <w:t xml:space="preserve">[</w:t>
      </w:r>
      <w:hyperlink w:anchor="ref-cfr425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rPr>
          <w:i/>
          <w:iCs/>
        </w:rPr>
        <w:t xml:space="preserve">Early renewers</w:t>
      </w:r>
      <w:r>
        <w:t xml:space="preserve"> </w:t>
      </w:r>
      <w:r>
        <w:t xml:space="preserve">(29 ACOs)</w:t>
      </w:r>
      <w:r>
        <w:t xml:space="preserve"> </w:t>
      </w:r>
      <w:r>
        <w:t xml:space="preserve">were compared with</w:t>
      </w:r>
      <w:r>
        <w:t xml:space="preserve"> </w:t>
      </w:r>
      <w:r>
        <w:rPr>
          <w:i/>
          <w:iCs/>
        </w:rPr>
        <w:t xml:space="preserve">stayers</w:t>
      </w:r>
      <w:r>
        <w:t xml:space="preserve"> </w:t>
      </w:r>
      <w:r>
        <w:t xml:space="preserve">(277 ACOs), those in the same agreement in PY2022; 42 stayers later renewed early into</w:t>
      </w:r>
      <w:r>
        <w:t xml:space="preserve"> </w:t>
      </w:r>
      <w:r>
        <w:t xml:space="preserve">2023 or 2024 agreements, so the comparison concerns the 2022 decision. The 28 ACOs absent from the PY2022 file (left</w:t>
      </w:r>
      <w:r>
        <w:t xml:space="preserve"> </w:t>
      </w:r>
      <w:r>
        <w:t xml:space="preserve">after PY2021) were described but entered no registered test (Figure 1). Of the 356 ACOs from these cohorts in the</w:t>
      </w:r>
      <w:r>
        <w:t xml:space="preserve"> </w:t>
      </w:r>
      <w:r>
        <w:t xml:space="preserve">PY2020 enrollment file, 22 were absent from the PY2021 file, and none had renewed into a 2021 agreement.</w:t>
      </w:r>
    </w:p>
    <w:bookmarkEnd w:id="16"/>
    <w:bookmarkStart w:id="21" w:name="variables"/>
    <w:p>
      <w:pPr>
        <w:pStyle w:val="Heading2"/>
      </w:pPr>
      <w:r>
        <w:t xml:space="preserve">Variables</w:t>
      </w:r>
    </w:p>
    <w:bookmarkStart w:id="17" w:name="expected-gain-from-a-reset"/>
    <w:p>
      <w:pPr>
        <w:pStyle w:val="Heading3"/>
      </w:pPr>
      <w:r>
        <w:t xml:space="preserve">Expected Gain From a Reset</w:t>
      </w:r>
    </w:p>
    <w:p>
      <w:pPr>
        <w:pStyle w:val="FirstParagraph"/>
      </w:pPr>
      <w:r>
        <w:t xml:space="preserve">CMS does not publish what an early renewer’s benchmark would have been had it not</w:t>
      </w:r>
      <w:r>
        <w:t xml:space="preserve"> </w:t>
      </w:r>
      <w:r>
        <w:t xml:space="preserve">renewed, nor a stayer’s had it reset. Following 42 CFR 425.601 as in force on January 1, 2022,</w:t>
      </w:r>
      <w:r>
        <w:t xml:space="preserve">[</w:t>
      </w:r>
      <w:hyperlink w:anchor="ref-cfr425601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 </w:t>
      </w:r>
      <w:r>
        <w:t xml:space="preserve">the</w:t>
      </w:r>
      <w:r>
        <w:t xml:space="preserve"> </w:t>
      </w:r>
      <w:r>
        <w:t xml:space="preserve">registered plan rebuilt it in 6 steps for each of the 4 enrollment types (end-stage renal disease [ESRD], disabled,</w:t>
      </w:r>
      <w:r>
        <w:t xml:space="preserve"> </w:t>
      </w:r>
      <w:r>
        <w:t xml:space="preserve">aged/dual eligible, aged/non-dual eligible): (1) the equally weighted mean of the ACO’s per-capita spending in</w:t>
      </w:r>
      <w:r>
        <w:t xml:space="preserve"> </w:t>
      </w:r>
      <w:r>
        <w:t xml:space="preserve">PY2019-PY2021, restated to PY2021 case mix and trended to 2021 dollars with the national-regional growth blend; (2)</w:t>
      </w:r>
      <w:r>
        <w:t xml:space="preserve"> </w:t>
      </w:r>
      <w:r>
        <w:t xml:space="preserve">risk-standardized county spending averaged with weights equal to the ACO’s assigned person-years by county in 2021</w:t>
      </w:r>
      <w:r>
        <w:t xml:space="preserve"> </w:t>
      </w:r>
      <w:r>
        <w:t xml:space="preserve">(the published proxy for the benchmark year’s assignment) and adjusted to the ACO’s case mix;</w:t>
      </w:r>
      <w:r>
        <w:t xml:space="preserve">[</w:t>
      </w:r>
      <w:hyperlink w:anchor="ref-specv10">
        <w:r>
          <w:rPr>
            <w:rStyle w:val="Hyperlink"/>
          </w:rPr>
          <w:t xml:space="preserve">35</w:t>
        </w:r>
      </w:hyperlink>
      <w:r>
        <w:t xml:space="preserve">]</w:t>
      </w:r>
      <w:r>
        <w:t xml:space="preserve"> </w:t>
      </w:r>
      <w:r>
        <w:t xml:space="preserve">(3) the</w:t>
      </w:r>
      <w:r>
        <w:t xml:space="preserve"> </w:t>
      </w:r>
      <w:r>
        <w:t xml:space="preserve">regional adjustment,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regional</m:t>
        </m:r>
        <m:r>
          <m:rPr>
            <m:sty m:val="p"/>
          </m:rPr>
          <m:t>−</m:t>
        </m:r>
        <m:r>
          <m:rPr>
            <m:nor/>
            <m:sty m:val="p"/>
          </m:rPr>
          <m:t>rebased</m:t>
        </m:r>
        <m:r>
          <m:rPr>
            <m:sty m:val="p"/>
          </m:rPr>
          <m:t>)</m:t>
        </m:r>
      </m:oMath>
      <w:r>
        <w:t xml:space="preserve">, with the phase-in weight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and the cap of</w:t>
      </w:r>
      <w:r>
        <w:t xml:space="preserve"> </w:t>
      </w:r>
      <w:r>
        <w:t xml:space="preserve">425.601; (4) the approximate new benchmark, combining types by the ACO’s PY2021 person-year shares; and (5) the</w:t>
      </w:r>
      <w:r>
        <w:t xml:space="preserve"> </w:t>
      </w:r>
      <w:r>
        <w:t xml:space="preserve">expected gain, 100 × (new − current) / current, where the current benchmark is the PY2021 updated per-capita</w:t>
      </w:r>
      <w:r>
        <w:t xml:space="preserve"> </w:t>
      </w:r>
      <w:r>
        <w:t xml:space="preserve">benchmark. The gain splits into an</w:t>
      </w:r>
      <w:r>
        <w:t xml:space="preserve"> </w:t>
      </w:r>
      <w:r>
        <w:rPr>
          <w:i/>
          <w:iCs/>
        </w:rPr>
        <w:t xml:space="preserve">own-spending component</w:t>
      </w:r>
      <w:r>
        <w:t xml:space="preserve"> </w:t>
      </w:r>
      <w:r>
        <w:t xml:space="preserve">(rebased spending relative to the current benchmark,</w:t>
      </w:r>
      <w:r>
        <w:t xml:space="preserve"> </w:t>
      </w:r>
      <w:r>
        <w:t xml:space="preserve">which is close to a restatement of the savings rate) and a</w:t>
      </w:r>
      <w:r>
        <w:t xml:space="preserve"> </w:t>
      </w:r>
      <w:r>
        <w:rPr>
          <w:i/>
          <w:iCs/>
        </w:rPr>
        <w:t xml:space="preserve">regional component</w:t>
      </w:r>
      <w:r>
        <w:t xml:space="preserve"> </w:t>
      </w:r>
      <w:r>
        <w:t xml:space="preserve">(the adjustment). Writing the</w:t>
      </w:r>
      <w:r>
        <w:t xml:space="preserve"> </w:t>
      </w:r>
      <w:r>
        <w:t xml:space="preserve">adjustment out shows that, before capping,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regional component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pull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own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regional component is also tied to past savings. Step (6) is the primary measure, the</w:t>
      </w:r>
      <w:r>
        <w:t xml:space="preserve"> </w:t>
      </w:r>
      <w:r>
        <w:rPr>
          <w:i/>
          <w:iCs/>
        </w:rPr>
        <w:t xml:space="preserve">regional pull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regional pull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e</w:t>
      </w:r>
      <w:r>
        <w:t xml:space="preserve"> </w:t>
      </w:r>
      <w:r>
        <w:t xml:space="preserve">is the case-mix-adjusted regional spending for enrollment type</w:t>
      </w:r>
      <w:r>
        <w:t xml:space="preserve"> </w:t>
      </w:r>
      <w:r>
        <w:rPr>
          <w:i/>
          <w:iCs/>
        </w:rPr>
        <w:t xml:space="preserve">e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bscript"/>
        </w:rPr>
        <w:t xml:space="preserve">e</w:t>
      </w:r>
      <w:r>
        <w:t xml:space="preserve"> </w:t>
      </w:r>
      <w:r>
        <w:t xml:space="preserve">the ACO’s share of</w:t>
      </w:r>
      <w:r>
        <w:t xml:space="preserve"> </w:t>
      </w:r>
      <w:r>
        <w:t xml:space="preserve">person-years of that type, and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its current per-capita benchmark. All 4 are in percentage points of the current</w:t>
      </w:r>
      <w:r>
        <w:t xml:space="preserve"> </w:t>
      </w:r>
      <w:r>
        <w:t xml:space="preserve">benchmark. They use final PY2021 data, published after the 2022 renewal decision was made during 2021, so they are</w:t>
      </w:r>
      <w:r>
        <w:t xml:space="preserve"> </w:t>
      </w:r>
      <w:r>
        <w:t xml:space="preserve">ex post measures of what ACOs could anticipate from CMS’s quarterly reports and their own earlier results.</w:t>
      </w:r>
    </w:p>
    <w:bookmarkEnd w:id="17"/>
    <w:bookmarkStart w:id="18" w:name="validation-before-use"/>
    <w:p>
      <w:pPr>
        <w:pStyle w:val="Heading3"/>
      </w:pPr>
      <w:r>
        <w:t xml:space="preserve">Validation Before Use</w:t>
      </w:r>
    </w:p>
    <w:p>
      <w:pPr>
        <w:pStyle w:val="FirstParagraph"/>
      </w:pPr>
      <w:r>
        <w:t xml:space="preserve">Several steps can only be approximated from public files. The plan therefore required the</w:t>
      </w:r>
      <w:r>
        <w:t xml:space="preserve"> </w:t>
      </w:r>
      <w:r>
        <w:t xml:space="preserve">rebuilt benchmark to be validated against the 2022 benchmarks CMS published for regular renewers (ACOs whose</w:t>
      </w:r>
      <w:r>
        <w:t xml:space="preserve"> </w:t>
      </w:r>
      <w:r>
        <w:t xml:space="preserve">scheduled agreements ended in 2021) before any expected-gain variable was estimated, with a pass rule of a Spearman</w:t>
      </w:r>
      <w:r>
        <w:t xml:space="preserve"> </w:t>
      </w:r>
      <w:r>
        <w:t xml:space="preserve">correlation of at least 0.80 and a median absolute percentage error of at most 5%, and a calibration step if the</w:t>
      </w:r>
      <w:r>
        <w:t xml:space="preserve"> </w:t>
      </w:r>
      <w:r>
        <w:t xml:space="preserve">slope of actual on rebuilt fell outside 0.9 to 1.1. Early renewers were excluded from the validation sample and the</w:t>
      </w:r>
      <w:r>
        <w:t xml:space="preserve"> </w:t>
      </w:r>
      <w:r>
        <w:t xml:space="preserve">2022 results file was filtered as it was loaded, so validation could not reveal their actual reset. A second check</w:t>
      </w:r>
      <w:r>
        <w:t xml:space="preserve"> </w:t>
      </w:r>
      <w:r>
        <w:t xml:space="preserve">compared the own-spending part with CMS’s own benchmark-year spending for the same ACOs; its error SD set the</w:t>
      </w:r>
      <w:r>
        <w:t xml:space="preserve"> </w:t>
      </w:r>
      <w:r>
        <w:t xml:space="preserve">measurement-error SD used in the decision model.</w:t>
      </w:r>
    </w:p>
    <w:bookmarkEnd w:id="18"/>
    <w:bookmarkStart w:id="19" w:name="other-variables"/>
    <w:p>
      <w:pPr>
        <w:pStyle w:val="Heading3"/>
      </w:pPr>
      <w:r>
        <w:t xml:space="preserve">Other Variables</w:t>
      </w:r>
    </w:p>
    <w:p>
      <w:pPr>
        <w:pStyle w:val="FirstParagraph"/>
      </w:pPr>
      <w:r>
        <w:t xml:space="preserve">From the results files: the savings rate (CMS-reported savings as a share of the benchmark) in</w:t>
      </w:r>
      <w:r>
        <w:t xml:space="preserve"> </w:t>
      </w:r>
      <w:r>
        <w:t xml:space="preserve">PY2020 and PY2021, assigned beneficiaries, and log per-capita spending, PY2020-PY2024. From the enrollment files:</w:t>
      </w:r>
      <w:r>
        <w:t xml:space="preserve"> </w:t>
      </w:r>
      <w:r>
        <w:t xml:space="preserve">cohort, PY2021 track and BASIC level, revenue category, assignment method and agreement number. An ACO’s PY2021</w:t>
      </w:r>
      <w:r>
        <w:t xml:space="preserve"> </w:t>
      </w:r>
      <w:r>
        <w:t xml:space="preserve">BASIC level reflects both the glide path’s schedule and its own earlier choices: ACOs choose their entry level, can advance faster, and could pause the advance for 2021; ACOs experienced with performance-based risk could enter</w:t>
      </w:r>
      <w:r>
        <w:t xml:space="preserve"> </w:t>
      </w:r>
      <w:r>
        <w:t xml:space="preserve">only Level E or ENHANCED.</w:t>
      </w:r>
      <w:r>
        <w:t xml:space="preserve">[</w:t>
      </w:r>
      <w:hyperlink w:anchor="ref-cfr425600">
        <w:r>
          <w:rPr>
            <w:rStyle w:val="Hyperlink"/>
          </w:rPr>
          <w:t xml:space="preserve">36</w:t>
        </w:r>
      </w:hyperlink>
      <w:r>
        <w:t xml:space="preserve">]</w:t>
      </w:r>
    </w:p>
    <w:bookmarkEnd w:id="19"/>
    <w:bookmarkStart w:id="20" w:name="suppressed-values"/>
    <w:p>
      <w:pPr>
        <w:pStyle w:val="Heading3"/>
      </w:pPr>
      <w:r>
        <w:t xml:space="preserve">Suppressed Values</w:t>
      </w:r>
    </w:p>
    <w:p>
      <w:pPr>
        <w:pStyle w:val="FirstParagraph"/>
      </w:pPr>
      <w:r>
        <w:t xml:space="preserve">Hidden cells needed for the expected gain were filled by registered rules in order: exact</w:t>
      </w:r>
      <w:r>
        <w:t xml:space="preserve"> </w:t>
      </w:r>
      <w:r>
        <w:t xml:space="preserve">recovery of a single hidden count from totals, the mean over years in which a value was shown, a regional ratio for</w:t>
      </w:r>
      <w:r>
        <w:t xml:space="preserve"> </w:t>
      </w:r>
      <w:r>
        <w:t xml:space="preserve">a type hidden in every year, and, for a hidden risk score, no restatement and the region’s mean risk score. ACOs</w:t>
      </w:r>
      <w:r>
        <w:t xml:space="preserve"> </w:t>
      </w:r>
      <w:r>
        <w:t xml:space="preserve">still missing a variable were excluded from that analysis and counted; the plan required reporting as a limitation</w:t>
      </w:r>
      <w:r>
        <w:t xml:space="preserve"> </w:t>
      </w:r>
      <w:r>
        <w:t xml:space="preserve">any exclusion above 10% of either group.</w:t>
      </w:r>
    </w:p>
    <w:bookmarkEnd w:id="20"/>
    <w:bookmarkEnd w:id="21"/>
    <w:bookmarkStart w:id="22" w:name="hypotheses"/>
    <w:p>
      <w:pPr>
        <w:pStyle w:val="Heading2"/>
      </w:pPr>
      <w:r>
        <w:t xml:space="preserve">Hypotheses</w:t>
      </w:r>
    </w:p>
    <w:p>
      <w:pPr>
        <w:pStyle w:val="FirstParagraph"/>
      </w:pPr>
      <w:r>
        <w:t xml:space="preserve">The registered hypotheses were:</w:t>
      </w:r>
      <w:r>
        <w:t xml:space="preserve"> </w:t>
      </w:r>
      <w:r>
        <w:rPr>
          <w:i/>
          <w:iCs/>
        </w:rPr>
        <w:t xml:space="preserve">H2b (primary)</w:t>
      </w:r>
      <w:r>
        <w:t xml:space="preserve">, early renewers had a larger regional pull than stayers;</w:t>
      </w:r>
      <w:r>
        <w:t xml:space="preserve"> </w:t>
      </w:r>
      <w:r>
        <w:rPr>
          <w:i/>
          <w:iCs/>
        </w:rPr>
        <w:t xml:space="preserve">H2a</w:t>
      </w:r>
      <w:r>
        <w:rPr>
          <w:i/>
          <w:iCs/>
        </w:rPr>
        <w:t xml:space="preserve"> </w:t>
      </w:r>
      <w:r>
        <w:rPr>
          <w:i/>
          <w:iCs/>
        </w:rPr>
        <w:t xml:space="preserve">(secondary)</w:t>
      </w:r>
      <w:r>
        <w:t xml:space="preserve">, a larger own-spending component (close to H1 restated, so not counted as separate evidence);</w:t>
      </w:r>
      <w:r>
        <w:t xml:space="preserve"> </w:t>
      </w:r>
      <w:r>
        <w:rPr>
          <w:i/>
          <w:iCs/>
        </w:rPr>
        <w:t xml:space="preserve">H1</w:t>
      </w:r>
      <w:r>
        <w:rPr>
          <w:i/>
          <w:iCs/>
        </w:rPr>
        <w:t xml:space="preserve"> </w:t>
      </w:r>
      <w:r>
        <w:rPr>
          <w:i/>
          <w:iCs/>
        </w:rPr>
        <w:t xml:space="preserve">(descriptive)</w:t>
      </w:r>
      <w:r>
        <w:t xml:space="preserve">, a difference in PY2020 savings rate, with no motive attributed to its sign;</w:t>
      </w:r>
      <w:r>
        <w:t xml:space="preserve"> </w:t>
      </w:r>
      <w:r>
        <w:rPr>
          <w:i/>
          <w:iCs/>
        </w:rPr>
        <w:t xml:space="preserve">H3</w:t>
      </w:r>
      <w:r>
        <w:t xml:space="preserve">, among BASIC-track</w:t>
      </w:r>
      <w:r>
        <w:t xml:space="preserve"> </w:t>
      </w:r>
      <w:r>
        <w:t xml:space="preserve">ACOs, the probability of renewing early rises with the regional pull, the own-spending component and a higher BASIC</w:t>
      </w:r>
      <w:r>
        <w:t xml:space="preserve"> </w:t>
      </w:r>
      <w:r>
        <w:t xml:space="preserve">level; and</w:t>
      </w:r>
      <w:r>
        <w:t xml:space="preserve"> </w:t>
      </w:r>
      <w:r>
        <w:rPr>
          <w:i/>
          <w:iCs/>
        </w:rPr>
        <w:t xml:space="preserve">H4</w:t>
      </w:r>
      <w:r>
        <w:t xml:space="preserve">, early renewal changed per-capita spending in PY2022-PY2024 (2-sided). H1 to H3 describe who chose</w:t>
      </w:r>
      <w:r>
        <w:t xml:space="preserve"> </w:t>
      </w:r>
      <w:r>
        <w:t xml:space="preserve">to reset and are associations. H4 concerns a bundled package (a new benchmark, for almost all a move to ENHANCED, and</w:t>
      </w:r>
      <w:r>
        <w:t xml:space="preserve"> </w:t>
      </w:r>
      <w:r>
        <w:t xml:space="preserve">new benchmark years) whose parts cannot be separated.</w:t>
      </w:r>
    </w:p>
    <w:bookmarkEnd w:id="22"/>
    <w:bookmarkStart w:id="30" w:name="statistical-analysis"/>
    <w:p>
      <w:pPr>
        <w:pStyle w:val="Heading2"/>
      </w:pPr>
      <w:r>
        <w:t xml:space="preserve">Statistical Analysis</w:t>
      </w:r>
    </w:p>
    <w:bookmarkStart w:id="23" w:name="group-comparisons-h1-h2a-h2b"/>
    <w:p>
      <w:pPr>
        <w:pStyle w:val="Heading3"/>
      </w:pPr>
      <w:r>
        <w:t xml:space="preserve">Group Comparisons (H1, H2a, H2b)</w:t>
      </w:r>
    </w:p>
    <w:p>
      <w:pPr>
        <w:pStyle w:val="FirstParagraph"/>
      </w:pPr>
      <w:r>
        <w:t xml:space="preserve">The estimate was the difference in means, early renewers minus stayers, within</w:t>
      </w:r>
      <w:r>
        <w:t xml:space="preserve"> </w:t>
      </w:r>
      <w:r>
        <w:t xml:space="preserve">each cohort, averaged with weights proportional to the early renewers in each cohort. Its posterior was a Bayesian</w:t>
      </w:r>
      <w:r>
        <w:t xml:space="preserve"> </w:t>
      </w:r>
      <w:r>
        <w:t xml:space="preserve">bootstrap</w:t>
      </w:r>
      <w:r>
        <w:t xml:space="preserve">[</w:t>
      </w:r>
      <w:hyperlink w:anchor="ref-rubin1981">
        <w:r>
          <w:rPr>
            <w:rStyle w:val="Hyperlink"/>
          </w:rPr>
          <w:t xml:space="preserve">37</w:t>
        </w:r>
      </w:hyperlink>
      <w:r>
        <w:t xml:space="preserve">]</w:t>
      </w:r>
      <w:r>
        <w:t xml:space="preserve"> </w:t>
      </w:r>
      <w:r>
        <w:t xml:space="preserve">(10,000 draws of Dirichlet(1, …, 1) weights within each cohort-by-group cell), reported as</w:t>
      </w:r>
      <w:r>
        <w:t xml:space="preserve"> </w:t>
      </w:r>
      <w:r>
        <w:t xml:space="preserve">the posterior mean, 95% equal-tailed credible interval (CrI) and posterior probability of a positive value. Significance</w:t>
      </w:r>
      <w:r>
        <w:t xml:space="preserve"> </w:t>
      </w:r>
      <w:r>
        <w:t xml:space="preserve">was by stratified permutation: labels were shuffled within cohort 10,000 times, and the 2-sided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was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#</m:t>
        </m:r>
        <m:r>
          <m:rPr>
            <m:sty m:val="p"/>
          </m:rPr>
          <m:t>{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)</m:t>
        </m:r>
      </m:oMath>
      <w:r>
        <w:t xml:space="preserve">.</w:t>
      </w:r>
      <w:r>
        <w:t xml:space="preserve">[</w:t>
      </w:r>
      <w:hyperlink w:anchor="ref-phipson2010">
        <w:r>
          <w:rPr>
            <w:rStyle w:val="Hyperlink"/>
          </w:rPr>
          <w:t xml:space="preserve">38</w:t>
        </w:r>
      </w:hyperlink>
      <w:r>
        <w:t xml:space="preserve">]</w:t>
      </w:r>
      <w:r>
        <w:t xml:space="preserve"> </w:t>
      </w:r>
      <w:r>
        <w:t xml:space="preserve">When the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</w:t>
      </w:r>
      <w:r>
        <w:t xml:space="preserve"> </w:t>
      </w:r>
      <w:r>
        <w:t xml:space="preserve">and the CrI disagree, both are reported and the disagreement noted.</w:t>
      </w:r>
    </w:p>
    <w:bookmarkEnd w:id="23"/>
    <w:bookmarkStart w:id="24" w:name="decision-model-h3"/>
    <w:p>
      <w:pPr>
        <w:pStyle w:val="Heading3"/>
      </w:pPr>
      <w:r>
        <w:t xml:space="preserve">Decision Model (H3)</w:t>
      </w:r>
    </w:p>
    <w:p>
      <w:pPr>
        <w:pStyle w:val="FirstParagraph"/>
      </w:pPr>
      <w:r>
        <w:t xml:space="preserve">A Bayesian logistic regression of early renewal among PY2021 BASIC-track ACOs on the 3 core</w:t>
      </w:r>
      <w:r>
        <w:t xml:space="preserve"> </w:t>
      </w:r>
      <w:r>
        <w:t xml:space="preserve">predictors and 5 adjustment factors (cohort, log assigned beneficiaries, high revenue, prospective assignment, later</w:t>
      </w:r>
      <w:r>
        <w:t xml:space="preserve"> </w:t>
      </w:r>
      <w:r>
        <w:t xml:space="preserve">agreement) was fit in PyMC</w:t>
      </w:r>
      <w:r>
        <w:t xml:space="preserve">[</w:t>
      </w:r>
      <w:hyperlink w:anchor="ref-pymc2023">
        <w:r>
          <w:rPr>
            <w:rStyle w:val="Hyperlink"/>
          </w:rPr>
          <w:t xml:space="preserve">39</w:t>
        </w:r>
      </w:hyperlink>
      <w:r>
        <w:t xml:space="preserve">]</w:t>
      </w:r>
      <w:r>
        <w:t xml:space="preserve"> </w:t>
      </w:r>
      <w:r>
        <w:t xml:space="preserve">with the No-U-Turn sampler</w:t>
      </w:r>
      <w:r>
        <w:t xml:space="preserve">[</w:t>
      </w:r>
      <w:hyperlink w:anchor="ref-hoffman2014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 </w:t>
      </w:r>
      <w:r>
        <w:t xml:space="preserve">(4 chains of 2,000 tuning and 2,000</w:t>
      </w:r>
      <w:r>
        <w:t xml:space="preserve"> </w:t>
      </w:r>
      <w:r>
        <w:t xml:space="preserve">retained draws, target acceptance 0.95). Continuous predictors were centered and divided by 2 SD</w:t>
      </w:r>
      <w:r>
        <w:t xml:space="preserve">[</w:t>
      </w:r>
      <w:hyperlink w:anchor="ref-gelman2008">
        <w:r>
          <w:rPr>
            <w:rStyle w:val="Hyperlink"/>
          </w:rPr>
          <w:t xml:space="preserve">41</w:t>
        </w:r>
      </w:hyperlink>
      <w:r>
        <w:t xml:space="preserve">]</w:t>
      </w:r>
      <w:r>
        <w:t xml:space="preserve"> </w:t>
      </w:r>
      <w:r>
        <w:t xml:space="preserve">and binary</w:t>
      </w:r>
      <w:r>
        <w:t xml:space="preserve"> </w:t>
      </w:r>
      <w:r>
        <w:t xml:space="preserve">predictors centered, so each coefficient is a log-odds difference per 2 SD or per category; coefficients had Normal(0,</w:t>
      </w:r>
      <w:r>
        <w:t xml:space="preserve"> </w:t>
      </w:r>
      <w:r>
        <w:t xml:space="preserve">1) priors. The own-spending component entered as a latent true value observed with normal error, with the error SD</w:t>
      </w:r>
      <w:r>
        <w:t xml:space="preserve"> </w:t>
      </w:r>
      <w:r>
        <w:t xml:space="preserve">fixed by the validation step. Convergence required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≤</m:t>
        </m:r>
        <m:r>
          <m:t>1.01</m:t>
        </m:r>
      </m:oMath>
      <w:r>
        <w:t xml:space="preserve">, bulk and tail effective sample sizes of at</w:t>
      </w:r>
      <w:r>
        <w:t xml:space="preserve"> </w:t>
      </w:r>
      <w:r>
        <w:t xml:space="preserve">least 400 and no divergences,</w:t>
      </w:r>
      <w:r>
        <w:t xml:space="preserve">[</w:t>
      </w:r>
      <w:hyperlink w:anchor="ref-vehtari2021">
        <w:r>
          <w:rPr>
            <w:rStyle w:val="Hyperlink"/>
          </w:rPr>
          <w:t xml:space="preserve">42</w:t>
        </w:r>
      </w:hyperlink>
      <w:r>
        <w:t xml:space="preserve">]</w:t>
      </w:r>
      <w:r>
        <w:t xml:space="preserve"> </w:t>
      </w:r>
      <w:r>
        <w:t xml:space="preserve">with one registered rerun; a Firth penalized regression</w:t>
      </w:r>
      <w:r>
        <w:t xml:space="preserve">[</w:t>
      </w:r>
      <w:hyperlink w:anchor="ref-firth1993">
        <w:r>
          <w:rPr>
            <w:rStyle w:val="Hyperlink"/>
          </w:rPr>
          <w:t xml:space="preserve">43</w:t>
        </w:r>
      </w:hyperlink>
      <w:r>
        <w:t xml:space="preserve">,</w:t>
      </w:r>
      <w:hyperlink w:anchor="ref-firthmodels">
        <w:r>
          <w:rPr>
            <w:rStyle w:val="Hyperlink"/>
          </w:rPr>
          <w:t xml:space="preserve">44</w:t>
        </w:r>
      </w:hyperlink>
      <w:r>
        <w:t xml:space="preserve">]</w:t>
      </w:r>
      <w:r>
        <w:t xml:space="preserve"> </w:t>
      </w:r>
      <w:r>
        <w:t xml:space="preserve">would have decided H3 had the model not converged. Because shuffling labels in a multi-predictor model</w:t>
      </w:r>
      <w:r>
        <w:t xml:space="preserve"> </w:t>
      </w:r>
      <w:r>
        <w:t xml:space="preserve">tests the joint null, each core predictor was tested by direct simulation under the reduced model: the model without</w:t>
      </w:r>
      <w:r>
        <w:t xml:space="preserve"> </w:t>
      </w:r>
      <w:r>
        <w:t xml:space="preserve">that predictor was fit, 10,000 outcome vectors were simulated from its posterior, the full model was refit to each,</w:t>
      </w:r>
      <w:r>
        <w:t xml:space="preserve"> </w:t>
      </w:r>
      <w:r>
        <w:t xml:space="preserve">and the observed coefficient was compared with that null distribution. A fit with Student-t(3, 0, 2.5) priors, after</w:t>
      </w:r>
      <w:r>
        <w:t xml:space="preserve"> </w:t>
      </w:r>
      <w:r>
        <w:t xml:space="preserve">Gelman and colleagues,</w:t>
      </w:r>
      <w:r>
        <w:t xml:space="preserve">[</w:t>
      </w:r>
      <w:hyperlink w:anchor="ref-gelmanprior2008">
        <w:r>
          <w:rPr>
            <w:rStyle w:val="Hyperlink"/>
          </w:rPr>
          <w:t xml:space="preserve">45</w:t>
        </w:r>
      </w:hyperlink>
      <w:r>
        <w:t xml:space="preserve">]</w:t>
      </w:r>
      <w:r>
        <w:t xml:space="preserve"> </w:t>
      </w:r>
      <w:r>
        <w:t xml:space="preserve">was the registered sensitivity analysis, with any differing core conclusion to</w:t>
      </w:r>
      <w:r>
        <w:t xml:space="preserve"> </w:t>
      </w:r>
      <w:r>
        <w:t xml:space="preserve">be flagged.</w:t>
      </w:r>
    </w:p>
    <w:bookmarkEnd w:id="24"/>
    <w:bookmarkStart w:id="25" w:name="spending-after-renewal-h4"/>
    <w:p>
      <w:pPr>
        <w:pStyle w:val="Heading3"/>
      </w:pPr>
      <w:r>
        <w:t xml:space="preserve">Spending After Renewal (H4)</w:t>
      </w:r>
    </w:p>
    <w:p>
      <w:pPr>
        <w:pStyle w:val="FirstParagraph"/>
      </w:pPr>
      <w:r>
        <w:t xml:space="preserve">For each ACO, Δ was the mean log per-capita spending over its included years</w:t>
      </w:r>
      <w:r>
        <w:t xml:space="preserve"> </w:t>
      </w:r>
      <w:r>
        <w:t xml:space="preserve">in PY2022-PY2024 minus the mean in PY2020-PY2021, and H4 applied the group-comparison estimator to Δ, reported</w:t>
      </w:r>
      <w:r>
        <w:t xml:space="preserve"> </w:t>
      </w:r>
      <w:r>
        <w:t xml:space="preserve">as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nor/>
                <m:sty m:val="p"/>
              </m:rPr>
              <m:t>estimate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 percent difference in spending growth. Log differences are also given in</w:t>
      </w:r>
      <w:r>
        <w:t xml:space="preserve"> </w:t>
      </w:r>
      <w:r>
        <w:t xml:space="preserve">log points (1 log point = 0.01 in log spending, about 1%). The comparison group was ACOs not yet renewed: a stayer’s</w:t>
      </w:r>
      <w:r>
        <w:t xml:space="preserve"> </w:t>
      </w:r>
      <w:r>
        <w:t xml:space="preserve">years after it renewed into a 2023 or 2024 agreement were excluded, following the not-yet-treated design of Callaway</w:t>
      </w:r>
      <w:r>
        <w:t xml:space="preserve"> </w:t>
      </w:r>
      <w:r>
        <w:t xml:space="preserve">and Sant’Anna.</w:t>
      </w:r>
      <w:r>
        <w:t xml:space="preserve">[</w:t>
      </w:r>
      <w:hyperlink w:anchor="ref-callaway2021">
        <w:r>
          <w:rPr>
            <w:rStyle w:val="Hyperlink"/>
          </w:rPr>
          <w:t xml:space="preserve">46</w:t>
        </w:r>
      </w:hyperlink>
      <w:r>
        <w:t xml:space="preserve">]</w:t>
      </w:r>
      <w:r>
        <w:t xml:space="preserve"> </w:t>
      </w:r>
      <w:r>
        <w:t xml:space="preserve">With one pre-period change (PY2020 to PY2021, both affected by COVID-19) and about 29</w:t>
      </w:r>
      <w:r>
        <w:t xml:space="preserve"> </w:t>
      </w:r>
      <w:r>
        <w:t xml:space="preserve">treated ACOs, a nonsignificant pre-trend test is weak evidence of parallel trends,</w:t>
      </w:r>
      <w:r>
        <w:t xml:space="preserve">[</w:t>
      </w:r>
      <w:hyperlink w:anchor="ref-roth2022">
        <w:r>
          <w:rPr>
            <w:rStyle w:val="Hyperlink"/>
          </w:rPr>
          <w:t xml:space="preserve">47</w:t>
        </w:r>
      </w:hyperlink>
      <w:r>
        <w:t xml:space="preserve">]</w:t>
      </w:r>
      <w:r>
        <w:t xml:space="preserve"> </w:t>
      </w:r>
      <w:r>
        <w:t xml:space="preserve">so the plan replaced it</w:t>
      </w:r>
      <w:r>
        <w:t xml:space="preserve"> </w:t>
      </w:r>
      <w:r>
        <w:t xml:space="preserve">with an equivalence condition in the spirit of equivalence testing:</w:t>
      </w:r>
      <w:r>
        <w:t xml:space="preserve">[</w:t>
      </w:r>
      <w:hyperlink w:anchor="ref-lakens2017">
        <w:r>
          <w:rPr>
            <w:rStyle w:val="Hyperlink"/>
          </w:rPr>
          <w:t xml:space="preserve">48</w:t>
        </w:r>
      </w:hyperlink>
      <w:r>
        <w:t xml:space="preserve">]</w:t>
      </w:r>
      <w:r>
        <w:t xml:space="preserve"> </w:t>
      </w:r>
      <w:r>
        <w:t xml:space="preserve">H4 would be read as an effect only</w:t>
      </w:r>
      <w:r>
        <w:t xml:space="preserve"> </w:t>
      </w:r>
      <w:r>
        <w:t xml:space="preserve">if the larger absolute bound of the pre-trend CrI, scaled by the mean distance between period midpoints, was smaller</w:t>
      </w:r>
      <w:r>
        <w:t xml:space="preserve"> </w:t>
      </w:r>
      <w:r>
        <w:t xml:space="preserve">than the absolute H4 estimate. A trend-adjusted estimate (the pre-period slope carried forward, in the spirit of</w:t>
      </w:r>
      <w:r>
        <w:t xml:space="preserve"> </w:t>
      </w:r>
      <w:r>
        <w:t xml:space="preserve">Rambachan and Roth</w:t>
      </w:r>
      <w:r>
        <w:t xml:space="preserve">[</w:t>
      </w:r>
      <w:hyperlink w:anchor="ref-rambachan2023">
        <w:r>
          <w:rPr>
            <w:rStyle w:val="Hyperlink"/>
          </w:rPr>
          <w:t xml:space="preserve">49</w:t>
        </w:r>
      </w:hyperlink>
      <w:r>
        <w:t xml:space="preserve">]</w:t>
      </w:r>
      <w:r>
        <w:t xml:space="preserve">) and risk-adjusted, balanced-panel, propensity-weighted</w:t>
      </w:r>
      <w:r>
        <w:t xml:space="preserve">[</w:t>
      </w:r>
      <w:hyperlink w:anchor="ref-rosenbaum1983">
        <w:r>
          <w:rPr>
            <w:rStyle w:val="Hyperlink"/>
          </w:rPr>
          <w:t xml:space="preserve">50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single-cohort estimates were reported beside it.</w:t>
      </w:r>
    </w:p>
    <w:bookmarkEnd w:id="25"/>
    <w:bookmarkStart w:id="26" w:name="power"/>
    <w:p>
      <w:pPr>
        <w:pStyle w:val="Heading3"/>
      </w:pPr>
      <w:r>
        <w:t xml:space="preserve">Power</w:t>
      </w:r>
    </w:p>
    <w:p>
      <w:pPr>
        <w:pStyle w:val="FirstParagraph"/>
      </w:pPr>
      <w:r>
        <w:t xml:space="preserve">Minimum detectable effects (MDEs) at 80% power and 2-sided α = .05 for 29 vs 277 ACOs were</w:t>
      </w:r>
      <w:r>
        <w:t xml:space="preserve"> </w:t>
      </w:r>
      <w:r>
        <w:t xml:space="preserve">computed after registration and committed before any confirmatory estimate: from the cross-ACO SD of the savings rate</w:t>
      </w:r>
      <w:r>
        <w:t xml:space="preserve"> </w:t>
      </w:r>
      <w:r>
        <w:t xml:space="preserve">in PY2016-PY2018 (H1), the SD of each constructed variable among stayers, computed after validation (H2a, H2b), and</w:t>
      </w:r>
      <w:r>
        <w:t xml:space="preserve"> </w:t>
      </w:r>
      <w:r>
        <w:t xml:space="preserve">the SD of the pre-period spending change (H4). For H3, detection was simulated at a log-odds difference of 0.5.</w:t>
      </w:r>
    </w:p>
    <w:bookmarkEnd w:id="26"/>
    <w:bookmarkStart w:id="27" w:name="decision-rules"/>
    <w:p>
      <w:pPr>
        <w:pStyle w:val="Heading3"/>
      </w:pPr>
      <w:r>
        <w:t xml:space="preserve">Decision Rules</w:t>
      </w:r>
    </w:p>
    <w:p>
      <w:pPr>
        <w:pStyle w:val="FirstParagraph"/>
      </w:pPr>
      <w:r>
        <w:t xml:space="preserve">Fixed in the plan before any result. For H2b,</w:t>
      </w:r>
      <w:r>
        <w:t xml:space="preserve"> </w:t>
      </w:r>
      <w:r>
        <w:rPr>
          <w:i/>
          <w:iCs/>
        </w:rPr>
        <w:t xml:space="preserve">P</w:t>
      </w:r>
      <w:r>
        <w:t xml:space="preserve">&lt;.05 with a positive difference was to be</w:t>
      </w:r>
      <w:r>
        <w:t xml:space="preserve"> </w:t>
      </w:r>
      <w:r>
        <w:t xml:space="preserve">reported as</w:t>
      </w:r>
      <w:r>
        <w:t xml:space="preserve"> </w:t>
      </w:r>
      <w:r>
        <w:t xml:space="preserve">“early renewers’ regions spent more relative to their current benchmarks, evidence for the reset motive</w:t>
      </w:r>
      <w:r>
        <w:t xml:space="preserve"> </w:t>
      </w:r>
      <w:r>
        <w:t xml:space="preserve">beyond past savings,”</w:t>
      </w:r>
      <w:r>
        <w:t xml:space="preserve"> </w:t>
      </w:r>
      <w:r>
        <w:rPr>
          <w:i/>
          <w:iCs/>
        </w:rPr>
        <w:t xml:space="preserve">P</w:t>
      </w:r>
      <w:r>
        <w:t xml:space="preserve">&lt;.05 with a negative difference as evidence against it, and otherwise as no detectable</w:t>
      </w:r>
      <w:r>
        <w:t xml:space="preserve"> </w:t>
      </w:r>
      <w:r>
        <w:t xml:space="preserve">difference. H2a used the same wording; H3 predictors were supported, contradicted or undetermined by their</w:t>
      </w:r>
      <w:r>
        <w:t xml:space="preserve"> </w:t>
      </w:r>
      <w:r>
        <w:t xml:space="preserve">direct-simulation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values; and H4 was reported as no detectable difference, grew less or grew more, read as an</w:t>
      </w:r>
      <w:r>
        <w:t xml:space="preserve"> </w:t>
      </w:r>
      <w:r>
        <w:t xml:space="preserve">effect only if the equivalence condition held. No test here could rule the sharing-rate motive in or out. As</w:t>
      </w:r>
      <w:r>
        <w:t xml:space="preserve"> </w:t>
      </w:r>
      <w:r>
        <w:t xml:space="preserve">registered, there is one primary test, and the 3 H3 tests and the H4 test are not adjusted for multiplicity.</w:t>
      </w:r>
    </w:p>
    <w:bookmarkEnd w:id="27"/>
    <w:bookmarkStart w:id="28" w:name="X3d1e5499a32e15aaf406abcc81d44387481ecc1"/>
    <w:p>
      <w:pPr>
        <w:pStyle w:val="Heading3"/>
      </w:pPr>
      <w:r>
        <w:t xml:space="preserve">Covariate-Adjusted Estimates, Conventional Methods, and Robustness</w:t>
      </w:r>
    </w:p>
    <w:p>
      <w:pPr>
        <w:pStyle w:val="FirstParagraph"/>
      </w:pPr>
      <w:r>
        <w:t xml:space="preserve">Reported beside the registered methods and not</w:t>
      </w:r>
      <w:r>
        <w:t xml:space="preserve"> </w:t>
      </w:r>
      <w:r>
        <w:t xml:space="preserve">used for decisions: covariate-adjusted estimates for H1, H2a and H2b from robust Bayesian linear regressions</w:t>
      </w:r>
      <w:r>
        <w:t xml:space="preserve"> </w:t>
      </w:r>
      <w:r>
        <w:t xml:space="preserve">(Student-t errors on the standardized variable, Normal(0, 1) priors) on early renewal and cohort, or cohort, track,</w:t>
      </w:r>
      <w:r>
        <w:t xml:space="preserve"> </w:t>
      </w:r>
      <w:r>
        <w:t xml:space="preserve">level and size; Welch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tests,</w:t>
      </w:r>
      <w:r>
        <w:t xml:space="preserve">[</w:t>
      </w:r>
      <w:hyperlink w:anchor="ref-welch1947">
        <w:r>
          <w:rPr>
            <w:rStyle w:val="Hyperlink"/>
          </w:rPr>
          <w:t xml:space="preserve">51</w:t>
        </w:r>
      </w:hyperlink>
      <w:r>
        <w:t xml:space="preserve">]</w:t>
      </w:r>
      <w:r>
        <w:t xml:space="preserve"> </w:t>
      </w:r>
      <w:r>
        <w:t xml:space="preserve">ordinary least squares with HC2 errors</w:t>
      </w:r>
      <w:r>
        <w:t xml:space="preserve">[</w:t>
      </w:r>
      <w:hyperlink w:anchor="ref-mackinnon1985">
        <w:r>
          <w:rPr>
            <w:rStyle w:val="Hyperlink"/>
          </w:rPr>
          <w:t xml:space="preserve">52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maximum-likelihood logistic regression in statsmodels;</w:t>
      </w:r>
      <w:r>
        <w:t xml:space="preserve">[</w:t>
      </w:r>
      <w:hyperlink w:anchor="ref-statsmodels2010">
        <w:r>
          <w:rPr>
            <w:rStyle w:val="Hyperlink"/>
          </w:rPr>
          <w:t xml:space="preserve">53</w:t>
        </w:r>
      </w:hyperlink>
      <w:r>
        <w:t xml:space="preserve">]</w:t>
      </w:r>
      <w:r>
        <w:t xml:space="preserve"> </w:t>
      </w:r>
      <w:r>
        <w:t xml:space="preserve">2-way fixed effects with an event study and</w:t>
      </w:r>
      <w:r>
        <w:t xml:space="preserve"> </w:t>
      </w:r>
      <w:r>
        <w:t xml:space="preserve">errors clustered by ACO for H4; and the registered robustness checks: differences in medians, the January 1, 2020</w:t>
      </w:r>
      <w:r>
        <w:t xml:space="preserve"> </w:t>
      </w:r>
      <w:r>
        <w:t xml:space="preserve">cohort alone, PY2021 savings rates, the Firth model, benchmark years 2-3 only, no measurement-error model, complete</w:t>
      </w:r>
      <w:r>
        <w:t xml:space="preserve"> </w:t>
      </w:r>
      <w:r>
        <w:t xml:space="preserve">cases and unadjusted county spending. Variables were built in dbt</w:t>
      </w:r>
      <w:r>
        <w:t xml:space="preserve">[</w:t>
      </w:r>
      <w:hyperlink w:anchor="ref-dbt">
        <w:r>
          <w:rPr>
            <w:rStyle w:val="Hyperlink"/>
          </w:rPr>
          <w:t xml:space="preserve">54</w:t>
        </w:r>
      </w:hyperlink>
      <w:r>
        <w:t xml:space="preserve">]</w:t>
      </w:r>
      <w:r>
        <w:t xml:space="preserve"> </w:t>
      </w:r>
      <w:r>
        <w:t xml:space="preserve">on DuckDB;</w:t>
      </w:r>
      <w:r>
        <w:t xml:space="preserve">[</w:t>
      </w:r>
      <w:hyperlink w:anchor="ref-duckdb2019">
        <w:r>
          <w:rPr>
            <w:rStyle w:val="Hyperlink"/>
          </w:rPr>
          <w:t xml:space="preserve">55</w:t>
        </w:r>
      </w:hyperlink>
      <w:r>
        <w:t xml:space="preserve">]</w:t>
      </w:r>
      <w:r>
        <w:t xml:space="preserve"> </w:t>
      </w:r>
      <w:r>
        <w:t xml:space="preserve">the environment was</w:t>
      </w:r>
      <w:r>
        <w:t xml:space="preserve"> </w:t>
      </w:r>
      <w:r>
        <w:t xml:space="preserve">locked with uv;</w:t>
      </w:r>
      <w:r>
        <w:t xml:space="preserve">[</w:t>
      </w:r>
      <w:hyperlink w:anchor="ref-uv">
        <w:r>
          <w:rPr>
            <w:rStyle w:val="Hyperlink"/>
          </w:rPr>
          <w:t xml:space="preserve">56</w:t>
        </w:r>
      </w:hyperlink>
      <w:r>
        <w:t xml:space="preserve">]</w:t>
      </w:r>
      <w:r>
        <w:t xml:space="preserve"> </w:t>
      </w:r>
      <w:r>
        <w:t xml:space="preserve">Markov chain Monte Carlo diagnostics used ArviZ;</w:t>
      </w:r>
      <w:r>
        <w:t xml:space="preserve">[</w:t>
      </w:r>
      <w:hyperlink w:anchor="ref-arviz2019">
        <w:r>
          <w:rPr>
            <w:rStyle w:val="Hyperlink"/>
          </w:rPr>
          <w:t xml:space="preserve">57</w:t>
        </w:r>
      </w:hyperlink>
      <w:r>
        <w:t xml:space="preserve">]</w:t>
      </w:r>
      <w:r>
        <w:t xml:space="preserve"> </w:t>
      </w:r>
      <w:r>
        <w:t xml:space="preserve">every refit had its own seed from a fixed NumPy seed</w:t>
      </w:r>
      <w:r>
        <w:t xml:space="preserve"> </w:t>
      </w:r>
      <w:r>
        <w:t xml:space="preserve">sequence.</w:t>
      </w:r>
      <w:r>
        <w:t xml:space="preserve">[</w:t>
      </w:r>
      <w:hyperlink w:anchor="ref-numpy2020">
        <w:r>
          <w:rPr>
            <w:rStyle w:val="Hyperlink"/>
          </w:rPr>
          <w:t xml:space="preserve">58</w:t>
        </w:r>
      </w:hyperlink>
      <w:r>
        <w:t xml:space="preserve">]</w:t>
      </w:r>
    </w:p>
    <w:bookmarkEnd w:id="28"/>
    <w:bookmarkStart w:id="29" w:name="deviations"/>
    <w:p>
      <w:pPr>
        <w:pStyle w:val="Heading3"/>
      </w:pPr>
      <w:r>
        <w:t xml:space="preserve">Deviations</w:t>
      </w:r>
    </w:p>
    <w:p>
      <w:pPr>
        <w:pStyle w:val="FirstParagraph"/>
      </w:pPr>
      <w:r>
        <w:t xml:space="preserve">All 7 analysis stages ran with code identical to the registered commit. After the last stage the</w:t>
      </w:r>
      <w:r>
        <w:t xml:space="preserve"> </w:t>
      </w:r>
      <w:r>
        <w:t xml:space="preserve">lockfile took security updates to 2 packages (filelock and virtualenv); no result was produced with it, and it is</w:t>
      </w:r>
      <w:r>
        <w:t xml:space="preserve"> </w:t>
      </w:r>
      <w:r>
        <w:t xml:space="preserve">logged as the one deviation. One sentence of the plan’s background is imprecise: it describes ENHANCED as sharing 75%</w:t>
      </w:r>
      <w:r>
        <w:t xml:space="preserve"> </w:t>
      </w:r>
      <w:r>
        <w:t xml:space="preserve">of savings and losses, whereas it shares 75% of savings and up to 75% of losses.</w:t>
      </w:r>
    </w:p>
    <w:bookmarkEnd w:id="29"/>
    <w:bookmarkEnd w:id="30"/>
    <w:bookmarkStart w:id="31" w:name="post-hoc-checks-not-registered"/>
    <w:p>
      <w:pPr>
        <w:pStyle w:val="Heading2"/>
      </w:pPr>
      <w:r>
        <w:t xml:space="preserve">Post Hoc Checks (Not Registered)</w:t>
      </w:r>
    </w:p>
    <w:p>
      <w:pPr>
        <w:pStyle w:val="FirstParagraph"/>
      </w:pPr>
      <w:r>
        <w:t xml:space="preserve">After all registered results had been read, and in response to critical review of the draft, two checks of the</w:t>
      </w:r>
      <w:r>
        <w:t xml:space="preserve"> </w:t>
      </w:r>
      <w:r>
        <w:t xml:space="preserve">expected gain were added (eTable 12 in Multimedia Appendix 1). They reuse the registered pipeline’s tables and estimator,</w:t>
      </w:r>
      <w:r>
        <w:t xml:space="preserve"> </w:t>
      </w:r>
      <w:r>
        <w:t xml:space="preserve">change no registered file, and decide nothing. First, the validation was repeated on the change scale, the rebuilt</w:t>
      </w:r>
      <w:r>
        <w:t xml:space="preserve"> </w:t>
      </w:r>
      <w:r>
        <w:t xml:space="preserve">against the actual change from the PY2021 benchmark, for the same 101 regular renewers. Second, early renewers’</w:t>
      </w:r>
      <w:r>
        <w:t xml:space="preserve"> </w:t>
      </w:r>
      <w:r>
        <w:t xml:space="preserve">realized reset, their 2022 historical benchmark as CMS published it relative to their PY2021 benchmark, was compared</w:t>
      </w:r>
      <w:r>
        <w:t xml:space="preserve"> </w:t>
      </w:r>
      <w:r>
        <w:t xml:space="preserve">with the rebuilt gain, and their PY2021-to-PY2022 change in updated benchmark was compared with stayers’ with the</w:t>
      </w:r>
      <w:r>
        <w:t xml:space="preserve"> </w:t>
      </w:r>
      <w:r>
        <w:t xml:space="preserve">group-comparison estimator above.</w:t>
      </w:r>
    </w:p>
    <w:bookmarkEnd w:id="31"/>
    <w:bookmarkStart w:id="32" w:name="ethical-considerations"/>
    <w:p>
      <w:pPr>
        <w:pStyle w:val="Heading2"/>
      </w:pPr>
      <w:r>
        <w:t xml:space="preserve">Ethical Considerations</w:t>
      </w:r>
    </w:p>
    <w:p>
      <w:pPr>
        <w:pStyle w:val="FirstParagraph"/>
      </w:pPr>
      <w:r>
        <w:t xml:space="preserve">The study used only publicly available, aggregate data on organizations and counties published by CMS. It involved</w:t>
      </w:r>
      <w:r>
        <w:t xml:space="preserve"> </w:t>
      </w:r>
      <w:r>
        <w:t xml:space="preserve">no intervention or interaction with individuals and no identifiable private information, so it was not human subjects</w:t>
      </w:r>
      <w:r>
        <w:t xml:space="preserve"> </w:t>
      </w:r>
      <w:r>
        <w:t xml:space="preserve">research as defined by the US Federal Policy for the Protection of Human Subjects (45 CFR 46.102(e)(1)).</w:t>
      </w:r>
      <w:r>
        <w:t xml:space="preserve">[</w:t>
      </w:r>
      <w:hyperlink w:anchor="ref-cfr46102">
        <w:r>
          <w:rPr>
            <w:rStyle w:val="Hyperlink"/>
          </w:rPr>
          <w:t xml:space="preserve">59</w:t>
        </w:r>
      </w:hyperlink>
      <w:r>
        <w:t xml:space="preserve">]</w:t>
      </w:r>
      <w:r>
        <w:t xml:space="preserve"> </w:t>
      </w:r>
      <w:r>
        <w:t xml:space="preserve">Ethics review was therefore not sought, and informed consent, privacy protections for participants and compensation</w:t>
      </w:r>
      <w:r>
        <w:t xml:space="preserve"> </w:t>
      </w:r>
      <w:r>
        <w:t xml:space="preserve">did not apply.</w:t>
      </w:r>
    </w:p>
    <w:bookmarkEnd w:id="32"/>
    <w:bookmarkEnd w:id="33"/>
    <w:bookmarkStart w:id="51" w:name="results"/>
    <w:p>
      <w:pPr>
        <w:pStyle w:val="Heading1"/>
      </w:pPr>
      <w:r>
        <w:t xml:space="preserve">Results</w:t>
      </w:r>
    </w:p>
    <w:bookmarkStart w:id="37" w:name="validation-and-sample"/>
    <w:p>
      <w:pPr>
        <w:pStyle w:val="Heading2"/>
      </w:pPr>
      <w:r>
        <w:t xml:space="preserve">Validation and Sample</w:t>
      </w:r>
    </w:p>
    <w:p>
      <w:pPr>
        <w:pStyle w:val="FirstParagraph"/>
      </w:pPr>
      <w:r>
        <w:t xml:space="preserve">The rebuilt benchmark passed validation (eTable 1 in Multimedia Appendix 1). For 101 of the 111 eligible regular renewers, it</w:t>
      </w:r>
      <w:r>
        <w:t xml:space="preserve"> </w:t>
      </w:r>
      <w:r>
        <w:t xml:space="preserve">had a Spearman correlation of 0.94 with the benchmark CMS published and a median absolute percentage error of 1.6%;</w:t>
      </w:r>
      <w:r>
        <w:t xml:space="preserve"> </w:t>
      </w:r>
      <w:r>
        <w:t xml:space="preserve">the slope of actual on rebuilt was 0.944, inside the registered range, so no calibration was applied. The</w:t>
      </w:r>
      <w:r>
        <w:t xml:space="preserve"> </w:t>
      </w:r>
      <w:r>
        <w:t xml:space="preserve">own-spending part agreed with CMS’s benchmark-year spending (Spearman 0.95; median error 1.4%), and its error SD set</w:t>
      </w:r>
      <w:r>
        <w:t xml:space="preserve"> </w:t>
      </w:r>
      <w:r>
        <w:t xml:space="preserve">the measurement-error SD at 4.38 percentage points. That SD exceeds the own-spending component’s spread among stayers</w:t>
      </w:r>
      <w:r>
        <w:t xml:space="preserve"> </w:t>
      </w:r>
      <w:r>
        <w:t xml:space="preserve">(SD 3.3). Under a classical error model it could not, so the validation errors are probably heavy-tailed (a normal</w:t>
      </w:r>
      <w:r>
        <w:t xml:space="preserve"> </w:t>
      </w:r>
      <w:r>
        <w:t xml:space="preserve">error with that SD would have a median absolute value near 3, against the 1.4% observed) or do not transfer exactly</w:t>
      </w:r>
      <w:r>
        <w:t xml:space="preserve"> </w:t>
      </w:r>
      <w:r>
        <w:t xml:space="preserve">to the study sample; a scale estimate from the median error (1.4826 × 1.4 ≈ 2.1) would be below the stayers’ SD.</w:t>
      </w:r>
      <w:r>
        <w:t xml:space="preserve"> </w:t>
      </w:r>
      <w:r>
        <w:t xml:space="preserve">By the registered error model, the component is mostly noise at the level of one ACO; the savings</w:t>
      </w:r>
      <w:r>
        <w:t xml:space="preserve"> </w:t>
      </w:r>
      <w:r>
        <w:t xml:space="preserve">rates, which CMS reports directly, are the firmer evidence of how far ACOs were beating their benchmarks.</w:t>
      </w:r>
    </w:p>
    <w:p>
      <w:pPr>
        <w:pStyle w:val="BodyText"/>
      </w:pPr>
      <w:r>
        <w:t xml:space="preserve">Early renewers were more often in the January 1, 2020 cohort and at BASIC’s two-sided levels C to E in PY2021 than</w:t>
      </w:r>
      <w:r>
        <w:t xml:space="preserve"> </w:t>
      </w:r>
      <w:r>
        <w:t xml:space="preserve">stayers (Table 1); 16 of the 27 BASIC-track early renewers were at the highest level, E. Of those 27, 26 moved to</w:t>
      </w:r>
      <w:r>
        <w:t xml:space="preserve"> </w:t>
      </w:r>
      <w:r>
        <w:t xml:space="preserve">ENHANCED in their new agreements; stayers could not, because the rules bar that move within an agreement period. The expected-gain variables could not be built for</w:t>
      </w:r>
      <w:r>
        <w:t xml:space="preserve"> </w:t>
      </w:r>
      <w:r>
        <w:t xml:space="preserve">3 early renewers (10.3%) and 36 stayers (13.0%), both above the plan’s 10% line. A diagnostic query run after the</w:t>
      </w:r>
      <w:r>
        <w:t xml:space="preserve"> </w:t>
      </w:r>
      <w:r>
        <w:t xml:space="preserve">results, outside the registered pipeline, found that in every one of these 39 ACOs CMS had suppressed the count of</w:t>
      </w:r>
      <w:r>
        <w:t xml:space="preserve"> </w:t>
      </w:r>
      <w:r>
        <w:t xml:space="preserve">assigned ESRD beneficiaries in every county of the 2021 assignment file, so the ESRD part of regional spending had no</w:t>
      </w:r>
      <w:r>
        <w:t xml:space="preserve"> </w:t>
      </w:r>
      <w:r>
        <w:t xml:space="preserve">county weights (for 15, the aged/dual counts were hidden too). The plan’s fill rules cover hidden cells in the results</w:t>
      </w:r>
      <w:r>
        <w:t xml:space="preserve"> </w:t>
      </w:r>
      <w:r>
        <w:t xml:space="preserve">files, not fully hidden county weights, so these ACOs were excluded and counted, as registered. The same query showed</w:t>
      </w:r>
      <w:r>
        <w:t xml:space="preserve"> </w:t>
      </w:r>
      <w:r>
        <w:t xml:space="preserve">them to be smaller ACOs (median 6,702 and 8,578 assigned beneficiaries for excluded early renewers and stayers,</w:t>
      </w:r>
      <w:r>
        <w:t xml:space="preserve"> </w:t>
      </w:r>
      <w:r>
        <w:t xml:space="preserve">against 10,757 and 15,649 for those included). One early renewer and 3 stayers had hidden values filled by the</w:t>
      </w:r>
      <w:r>
        <w:t xml:space="preserve"> </w:t>
      </w:r>
      <w:r>
        <w:t xml:space="preserve">registered rules.</w:t>
      </w:r>
    </w:p>
    <w:p>
      <w:pPr>
        <w:pStyle w:val="TableCaption"/>
      </w:pPr>
      <w:r>
        <w:t xml:space="preserve">Table 1. Characteristics of the 334 ACOs in the 2019 and 2020 agreement cohorts, by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Characteristics of the 334 ACOs in the 2019 and 2020 agreement cohorts, by group"/>
      </w:tblPr>
      <w:tblGrid>
        <w:gridCol w:w="3529"/>
        <w:gridCol w:w="1463"/>
        <w:gridCol w:w="1463"/>
        <w:gridCol w:w="14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renewers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Stayers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Left after PY2021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ACOs,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 start, No.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July 1, 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 (57)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(68)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January 1,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(62)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(43)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 in PY2021, No.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BASIC levels A-B (one-sided)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 (48)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(82)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BASIC levels C-E (two-sided)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(27)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ENHANCED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(25)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 beneficiaries, PY2020, mean (SD),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Aged 85 y or 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 (3.7)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 (4.1)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 (5.8)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 (1.9)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 (2.3)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 (2.5)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Savings rate, PY2020, 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 (3.6)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 (3.9)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 (5.5)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Regional pull, pp of benchmark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ACOs with the variable,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 (5.0)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 (4.6)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 (6.7)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Own-spending component, pp of benchmark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ACOs with the variable,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−5.3 (4.4)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−3.2 (3.3)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 (4.6)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Regional component, pp of benchmark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ACOs with the variable,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Mean (SD)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(1.6)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 (1.8)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t xml:space="preserve">Abbreviations: ACO, accountable care organization; pp, percentage points; PY, performance year. Early renewers ended their agreements and began new ones on January 1, 2022; stayers remained in their agreements; leavers left the program after PY2021. The savings rate is CMS’s reported savings as a share of the benchmark (positive when spending was below the benchmark). The expected-gain variables could not be built for every ACO; a diagnostic query run after the results, outside the registered pipeline, traced each exclusion to county counts of assigned beneficiaries with end-stage renal disease that were all suppressed (Results). Leavers were not compared in any registered test.</w:t>
      </w:r>
    </w:p>
    <w:p>
      <w:pPr>
        <w:pStyle w:val="CaptionedFigure"/>
      </w:pPr>
      <w:r>
        <w:drawing>
          <wp:inline>
            <wp:extent cx="5334000" cy="4174434"/>
            <wp:effectExtent b="0" l="0" r="0" t="0"/>
            <wp:docPr descr="Figure 1. Flow of ACOs into each analysis. Counts are early renewers vs stayers. The reason for the expected-gain exclusions comes from a diagnostic query run after the results, outside the registered pipeline. ACO, accountable care organization; ESRD, end-stage renal disease; PY, performance year." title="" id="35" name="Picture"/>
            <a:graphic>
              <a:graphicData uri="http://schemas.openxmlformats.org/drawingml/2006/picture">
                <pic:pic>
                  <pic:nvPicPr>
                    <pic:cNvPr descr="figures/figure1-fl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Flow of ACOs into each analysis. Counts are early renewers vs stayers. The reason for the expected-gain exclusions comes from a diagnostic query run after the results, outside the registered pipeline. ACO, accountable care organization; ESRD, end-stage renal disease; PY, performance year.</w:t>
      </w:r>
    </w:p>
    <w:bookmarkEnd w:id="37"/>
    <w:bookmarkStart w:id="41" w:name="who-renewed-early"/>
    <w:p>
      <w:pPr>
        <w:pStyle w:val="Heading2"/>
      </w:pPr>
      <w:r>
        <w:t xml:space="preserve">Who Renewed Early</w:t>
      </w:r>
    </w:p>
    <w:p>
      <w:pPr>
        <w:pStyle w:val="FirstParagraph"/>
      </w:pPr>
      <w:r>
        <w:t xml:space="preserve">Relative to their current benchmarks, early renewers’ case-mix-adjusted regional spending was 3.4 percentage points</w:t>
      </w:r>
      <w:r>
        <w:t xml:space="preserve"> </w:t>
      </w:r>
      <w:r>
        <w:t xml:space="preserve">higher than stayers’ (95% CrI, 1.7 to 5.4;</w:t>
      </w:r>
      <w:r>
        <w:t xml:space="preserve"> </w:t>
      </w:r>
      <w:r>
        <w:rPr>
          <w:i/>
          <w:iCs/>
        </w:rPr>
        <w:t xml:space="preserve">P</w:t>
      </w:r>
      <w:r>
        <w:t xml:space="preserve">&lt;.001), above the MDE of 2.5 computed for 29 vs 277 ACOs, which is</w:t>
      </w:r>
      <w:r>
        <w:t xml:space="preserve"> </w:t>
      </w:r>
      <w:r>
        <w:t xml:space="preserve">slightly understated for the 26 vs 241 compared (Table 2 and Figure 2). By the registered rule, H2b was supported:</w:t>
      </w:r>
      <w:r>
        <w:t xml:space="preserve"> </w:t>
      </w:r>
      <w:r>
        <w:t xml:space="preserve">early renewers’ regions spent more relative to their current benchmarks, evidence for the reset motive beyond past savings. The decomposition qualifies that reading. Weighted by the phase-in</w:t>
      </w:r>
      <w:r>
        <w:t xml:space="preserve"> </w:t>
      </w:r>
      <w:r>
        <w:t xml:space="preserve">weight, the pull difference was 1.6 points (eTable 9), and the regional component differed by the same 1.6 points</w:t>
      </w:r>
      <w:r>
        <w:t xml:space="preserve"> </w:t>
      </w:r>
      <w:r>
        <w:t xml:space="preserve">partly because a lower own-spending component also raises it; the total expected gain did not differ. The pull</w:t>
      </w:r>
      <w:r>
        <w:t xml:space="preserve"> </w:t>
      </w:r>
      <w:r>
        <w:t xml:space="preserve">difference therefore indicates that early renewers were low-cost relative to their regions more than that they stood</w:t>
      </w:r>
      <w:r>
        <w:t xml:space="preserve"> </w:t>
      </w:r>
      <w:r>
        <w:t xml:space="preserve">to gain a higher benchmark. At the median PY2021 benchmark of the study’s ACOs, $11,312 per beneficiary per year, the difference of 3.35</w:t>
      </w:r>
      <w:r>
        <w:t xml:space="preserve"> </w:t>
      </w:r>
      <w:r>
        <w:t xml:space="preserve">points is about $379 per beneficiary-year of regional spending relative to the benchmark; the difference in the</w:t>
      </w:r>
      <w:r>
        <w:t xml:space="preserve"> </w:t>
      </w:r>
      <w:r>
        <w:t xml:space="preserve">regional component itself, what a reset would add, was 1.6 points, about $176.</w:t>
      </w:r>
    </w:p>
    <w:p>
      <w:pPr>
        <w:pStyle w:val="BodyText"/>
      </w:pPr>
      <w:r>
        <w:t xml:space="preserve">The own-spending component pointed the other way (−2.1 points; 95% CrI, −3.8 to −0.5;</w:t>
      </w:r>
      <w:r>
        <w:t xml:space="preserve"> </w:t>
      </w:r>
      <w:r>
        <w:rPr>
          <w:i/>
          <w:iCs/>
        </w:rPr>
        <w:t xml:space="preserve">P</w:t>
      </w:r>
      <w:r>
        <w:t xml:space="preserve">=.003): early renewers’</w:t>
      </w:r>
      <w:r>
        <w:t xml:space="preserve"> </w:t>
      </w:r>
      <w:r>
        <w:t xml:space="preserve">recent spending was lower relative to their benchmarks, contrary to the reset motive by the rule’s wording. Early</w:t>
      </w:r>
      <w:r>
        <w:t xml:space="preserve"> </w:t>
      </w:r>
      <w:r>
        <w:t xml:space="preserve">renewers also had higher savings rates in PY2020 (1.9 points; 95% CrI, 0.7 to 3.3) and PY2021 (1.6 points; 95% CrI,</w:t>
      </w:r>
      <w:r>
        <w:t xml:space="preserve"> </w:t>
      </w:r>
      <w:r>
        <w:t xml:space="preserve">0.2 to 3.1). The two parts of the gain offset: the regional component was larger for early renewers (1.6 points;</w:t>
      </w:r>
      <w:r>
        <w:t xml:space="preserve"> </w:t>
      </w:r>
      <w:r>
        <w:t xml:space="preserve">95% CrI, 0.9 to 2.2), the own-spending component smaller, and the total expected gain did not differ (−0.5 points;</w:t>
      </w:r>
      <w:r>
        <w:t xml:space="preserve"> </w:t>
      </w:r>
      <w:r>
        <w:t xml:space="preserve">95% CrI, −2.0 to 0.8;</w:t>
      </w:r>
      <w:r>
        <w:t xml:space="preserve"> </w:t>
      </w:r>
      <w:r>
        <w:rPr>
          <w:i/>
          <w:iCs/>
        </w:rPr>
        <w:t xml:space="preserve">P</w:t>
      </w:r>
      <w:r>
        <w:t xml:space="preserve">=.33). In unweighted means the own-spending and regional parts summed to −5.3 + 3.7 = −1.6</w:t>
      </w:r>
      <w:r>
        <w:t xml:space="preserve"> </w:t>
      </w:r>
      <w:r>
        <w:t xml:space="preserve">points for early renewers and −3.2 + 2.2 = −1.0 for stayers: by the approximation, a reset would on average have</w:t>
      </w:r>
      <w:r>
        <w:t xml:space="preserve"> </w:t>
      </w:r>
      <w:r>
        <w:t xml:space="preserve">lowered both groups’ benchmarks. Post hoc, CMS’s published 2022 benchmarks bear this out for early renewers: their</w:t>
      </w:r>
      <w:r>
        <w:t xml:space="preserve"> </w:t>
      </w:r>
      <w:r>
        <w:t xml:space="preserve">reset historical benchmarks averaged 1.3% below their PY2021 benchmarks (median −1.5%; 66% of the 29 were lower), the</w:t>
      </w:r>
      <w:r>
        <w:t xml:space="preserve"> </w:t>
      </w:r>
      <w:r>
        <w:t xml:space="preserve">rebuilt gain had predicted −1.6 points on average against −1.4 realized for the 26 with both values, and their</w:t>
      </w:r>
      <w:r>
        <w:t xml:space="preserve"> </w:t>
      </w:r>
      <w:r>
        <w:t xml:space="preserve">updated benchmarks rose from PY2021 to PY2022 no more than stayers’ (difference 0.0 points; 95% CrI, −2.0 to 2.2)</w:t>
      </w:r>
      <w:r>
        <w:t xml:space="preserve"> </w:t>
      </w:r>
      <w:r>
        <w:t xml:space="preserve">(eTable 12 in Multimedia Appendix 1).</w:t>
      </w:r>
    </w:p>
    <w:p>
      <w:pPr>
        <w:pStyle w:val="TableCaption"/>
      </w:pPr>
      <w:r>
        <w:t xml:space="preserve">Table 2. Early renewers compared with stayers: regional pull (H2b), own-spending component (H2a), savings rates (H1) and the expected gain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Early renewers compared with stayers: regional pull (H2b), own-spending component (H2a), savings rates (H1) and the expected gain"/>
      </w:tblPr>
      <w:tblGrid>
        <w:gridCol w:w="2556"/>
        <w:gridCol w:w="1060"/>
        <w:gridCol w:w="1559"/>
        <w:gridCol w:w="561"/>
        <w:gridCol w:w="561"/>
        <w:gridCol w:w="561"/>
        <w:gridCol w:w="10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 (role)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/ stayers,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 (95% CrI)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H2b, regional pull (primary)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 / 241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+3.4 (1.7 to 5.4)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&gt;0.999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&lt;.001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H2a, own-spending component (secondary)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 (−3.8 to −0.5)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H1, savings rate, PY2020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/ 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+1.9 (0.7 to 3.3)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H1, savings rate, PY2021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/ 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 (0.2 to 3.1)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expected gain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 (−2.0 to 0.8)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component (descriptive)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 (0.9 to 2.2)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Abbreviations: CrI, credible interval; MDE, minimum detectable effect at 80% power, two-sided α = .05, computed before the tests for 29 vs 277 ACOs (for the 26 vs 241 compared on the expected-gain variables it is 2.6 for H2b and 1.9 for H2a); Pr(&gt;0), posterior probability that the difference is positive; pp, percentage points; PY, performance year. Differences are early renewers minus stayers within agreement cohort, averaged with weights proportional to early renewers per cohort. Posterior means and 95% equal-tailed CrIs are from a Bayesian bootstrap (10,000 draws); P values are from stratified permutation (10,000 shuffles within cohort). Expected-gain variables are in percentage points of the current benchmark; savings rates in percentage points. Verdicts follow the registered decision rules; H1 and the two descriptive rows carry none.</w:t>
      </w:r>
    </w:p>
    <w:p>
      <w:pPr>
        <w:pStyle w:val="CaptionedFigure"/>
      </w:pPr>
      <w:r>
        <w:drawing>
          <wp:inline>
            <wp:extent cx="5334000" cy="2215692"/>
            <wp:effectExtent b="0" l="0" r="0" t="0"/>
            <wp:docPr descr="Figure 2. Early renewers minus stayers. A, Expected-gain variables, in percentage points of the current benchmark. B, Savings rates, in percentage points. Points are posterior means and lines 95% credible intervals from the Bayesian bootstrap." title="" id="39" name="Picture"/>
            <a:graphic>
              <a:graphicData uri="http://schemas.openxmlformats.org/drawingml/2006/picture">
                <pic:pic>
                  <pic:nvPicPr>
                    <pic:cNvPr descr="figures/figure2-comparison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Early renewers minus stayers. A, Expected-gain variables, in percentage points of the current benchmark. B, Savings rates, in percentage points. Points are posterior means and lines 95% credible intervals from the Bayesian bootstrap.</w:t>
      </w:r>
    </w:p>
    <w:bookmarkEnd w:id="41"/>
    <w:bookmarkStart w:id="45" w:name="decision-model"/>
    <w:p>
      <w:pPr>
        <w:pStyle w:val="Heading2"/>
      </w:pPr>
      <w:r>
        <w:t xml:space="preserve">Decision Model</w:t>
      </w:r>
    </w:p>
    <w:p>
      <w:pPr>
        <w:pStyle w:val="FirstParagraph"/>
      </w:pPr>
      <w:r>
        <w:t xml:space="preserve">Among 206 BASIC-track ACOs (24 early renewers), early renewal was associated with a higher regional pull (log-odds</w:t>
      </w:r>
      <w:r>
        <w:t xml:space="preserve"> </w:t>
      </w:r>
      <w:r>
        <w:t xml:space="preserve">difference per 2 SD, 1.34; 95% CrI, 0.44 to 2.30; direct-simulation</w:t>
      </w:r>
      <w:r>
        <w:t xml:space="preserve"> </w:t>
      </w:r>
      <w:r>
        <w:rPr>
          <w:i/>
          <w:iCs/>
        </w:rPr>
        <w:t xml:space="preserve">P</w:t>
      </w:r>
      <w:r>
        <w:t xml:space="preserve">=.002) and a higher BASIC level (log-odds</w:t>
      </w:r>
      <w:r>
        <w:t xml:space="preserve"> </w:t>
      </w:r>
      <w:r>
        <w:t xml:space="preserve">difference for levels C-E vs A-B, 1.34; 95% CrI, 0.38 to 2.31;</w:t>
      </w:r>
      <w:r>
        <w:t xml:space="preserve"> </w:t>
      </w:r>
      <w:r>
        <w:rPr>
          <w:i/>
          <w:iCs/>
        </w:rPr>
        <w:t xml:space="preserve">P</w:t>
      </w:r>
      <w:r>
        <w:t xml:space="preserve">=.003); both predictions were supported (Table 3</w:t>
      </w:r>
      <w:r>
        <w:t xml:space="preserve"> </w:t>
      </w:r>
      <w:r>
        <w:t xml:space="preserve">and Figure 3). A log-odds difference of 1.34 multiplies the odds of renewing early by about 3.8. The own-spending</w:t>
      </w:r>
      <w:r>
        <w:t xml:space="preserve"> </w:t>
      </w:r>
      <w:r>
        <w:t xml:space="preserve">component was undetermined (−0.05; 95% CrI, −2.01 to 1.92;</w:t>
      </w:r>
      <w:r>
        <w:t xml:space="preserve"> </w:t>
      </w:r>
      <w:r>
        <w:rPr>
          <w:i/>
          <w:iCs/>
        </w:rPr>
        <w:t xml:space="preserve">P</w:t>
      </w:r>
      <w:r>
        <w:t xml:space="preserve">=.19); its interval is the prior’s 95% range,</w:t>
      </w:r>
      <w:r>
        <w:t xml:space="preserve"> </w:t>
      </w:r>
      <w:r>
        <w:t xml:space="preserve">because its measurement error exceeds its spread and the model could learn almost nothing about it. Without the</w:t>
      </w:r>
      <w:r>
        <w:t xml:space="preserve"> </w:t>
      </w:r>
      <w:r>
        <w:t xml:space="preserve">measurement-error layer it was −0.64 (95% CrI, −1.51 to 0.23). The model converged on its first fit (largest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1.001, no divergences), and the observed 24 early renewers fell inside the posterior predictive 95% range</w:t>
      </w:r>
      <w:r>
        <w:t xml:space="preserve"> </w:t>
      </w:r>
      <w:r>
        <w:t xml:space="preserve">of 14 to 37 (eTable 5 in Multimedia Appendix 1). Under the Student-t prior, which converged on its registered rerun, the pull</w:t>
      </w:r>
      <w:r>
        <w:t xml:space="preserve"> </w:t>
      </w:r>
      <w:r>
        <w:t xml:space="preserve">(1.65; 95% CrI, 0.53 to 2.87) and BASIC-level (1.63; 95% CrI, 0.53 to 2.85) intervals also excluded zero, so no core</w:t>
      </w:r>
      <w:r>
        <w:t xml:space="preserve"> </w:t>
      </w:r>
      <w:r>
        <w:t xml:space="preserve">conclusion differs between priors. The power analysis gave detection rates of only 17% (pull) and 14% (BASIC level)</w:t>
      </w:r>
      <w:r>
        <w:t xml:space="preserve"> </w:t>
      </w:r>
      <w:r>
        <w:t xml:space="preserve">at a log-odds difference of 0.5, so estimates that pass the test are likely to overstate the true</w:t>
      </w:r>
      <w:r>
        <w:t xml:space="preserve"> </w:t>
      </w:r>
      <w:r>
        <w:t xml:space="preserve">effects;</w:t>
      </w:r>
      <w:r>
        <w:t xml:space="preserve">[</w:t>
      </w:r>
      <w:hyperlink w:anchor="ref-gelmancarlin2014">
        <w:r>
          <w:rPr>
            <w:rStyle w:val="Hyperlink"/>
          </w:rPr>
          <w:t xml:space="preserve">60</w:t>
        </w:r>
      </w:hyperlink>
      <w:r>
        <w:t xml:space="preserve">]</w:t>
      </w:r>
      <w:r>
        <w:t xml:space="preserve"> </w:t>
      </w:r>
      <w:r>
        <w:t xml:space="preserve">the directions are the result, and coefficients near 1.3 are probably too large.</w:t>
      </w:r>
    </w:p>
    <w:p>
      <w:pPr>
        <w:pStyle w:val="TableCaption"/>
      </w:pPr>
      <w:r>
        <w:t xml:space="preserve">Table 3. Decision model of early renewal among BASIC-track ACOs (H3)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Decision model of early renewal among BASIC-track ACOs (H3)"/>
      </w:tblPr>
      <w:tblGrid>
        <w:gridCol w:w="1652"/>
        <w:gridCol w:w="1424"/>
        <w:gridCol w:w="512"/>
        <w:gridCol w:w="512"/>
        <w:gridCol w:w="968"/>
        <w:gridCol w:w="1424"/>
        <w:gridCol w:w="1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 mean (95% CrI)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Student-t prior (95% CrI)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Conventional OR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Regional pull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 (0.44 to 2.30)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 (0.53 to 2.87)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 (1.20 to 13.40)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Own-spending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(−2.01 to 1.92)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 (−9.98 to 7.36)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 (0.19 to 1.44)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Higher BASIC level (C-E)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 (0.38 to 2.31)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 (0.53 to 2.85)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 (1.47 to 15.59)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2020-01-01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 (−0.24 to 1.51)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 (−0.26 to 1.76)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 (0.71 to 5.49)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assigned beneficiaries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 (−0.49 to 1.36)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 (−0.43 to 1.77)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 (0.65 to 6.15)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−0.53 (−1.69 to 0.59)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−0.55 (−2.10 to 0.85)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 (0.14 to 2.89)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Prospective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−0.77 (−1.79 to 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−1.01 (−2.27 to 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 (0.11 to 1.31)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−0.67 (−1.62 to 0.31)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−0.91 (−2.04 to 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 (0.12 to 1.19)</w:t>
            </w:r>
          </w:p>
        </w:tc>
      </w:tr>
    </w:tbl>
    <w:p>
      <w:pPr>
        <w:pStyle w:val="BodyText"/>
      </w:pPr>
      <w:r>
        <w:t xml:space="preserve">Abbreviations: CrI, credible interval; OR, odds ratio; Pr(&gt;0), posterior probability that the coefficient is positive. Bayesian logistic regression of early renewal among 206 BASIC-track ACOs (24 early renewers; 3 early renewers and 27 stayers excluded for a missing predictor). Continuous predictors are centered and divided by 2 SD, so their coefficients are log-odds differences per 2 SD; binary predictors are centered, so theirs are per category (the BASIC level compares levels C-E with A-B). Core predictors (bold) are tested by direct simulation under the reduced model (10,000 simulated datasets); adjustment factors are estimates only. The own-spending component enters with a measurement-error model (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= 4.38 pp). The Student-t column is the registered prior sensitivity analysis; the maximum-likelihood ORs are the conventional counterpart, reported only.</w:t>
      </w:r>
    </w:p>
    <w:p>
      <w:pPr>
        <w:pStyle w:val="CaptionedFigure"/>
      </w:pPr>
      <w:r>
        <w:drawing>
          <wp:inline>
            <wp:extent cx="5334000" cy="1942358"/>
            <wp:effectExtent b="0" l="0" r="0" t="0"/>
            <wp:docPr descr="Figure 3. Decision model of early renewal among BASIC-track ACOs (H3). Points are posterior means and lines 95% credible intervals; the shaded band is the Normal(0, 1) prior’s central 95%. Bold labels mark the core predictors." title="" id="43" name="Picture"/>
            <a:graphic>
              <a:graphicData uri="http://schemas.openxmlformats.org/drawingml/2006/picture">
                <pic:pic>
                  <pic:nvPicPr>
                    <pic:cNvPr descr="figures/figure3-decision-mod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Decision model of early renewal among BASIC-track ACOs (H3). Points are posterior means and lines 95% credible intervals; the shaded band is the Normal(0, 1) prior’s central 95%. Bold labels mark the core predictors.</w:t>
      </w:r>
    </w:p>
    <w:bookmarkEnd w:id="45"/>
    <w:bookmarkStart w:id="49" w:name="spending-after-renewal"/>
    <w:p>
      <w:pPr>
        <w:pStyle w:val="Heading2"/>
      </w:pPr>
      <w:r>
        <w:t xml:space="preserve">Spending After Renewal</w:t>
      </w:r>
    </w:p>
    <w:p>
      <w:pPr>
        <w:pStyle w:val="FirstParagraph"/>
      </w:pPr>
      <w:r>
        <w:t xml:space="preserve">Spending growth from PY2020-PY2021 to PY2022-PY2024 did not differ detectably between 29 early renewers and 276</w:t>
      </w:r>
      <w:r>
        <w:t xml:space="preserve"> </w:t>
      </w:r>
      <w:r>
        <w:t xml:space="preserve">comparison ACOs not yet renewed (−0.4%; 95% CrI, −4.0% to 2.5%;</w:t>
      </w:r>
      <w:r>
        <w:t xml:space="preserve"> </w:t>
      </w:r>
      <w:r>
        <w:rPr>
          <w:i/>
          <w:iCs/>
        </w:rPr>
        <w:t xml:space="preserve">P</w:t>
      </w:r>
      <w:r>
        <w:t xml:space="preserve">=.78; MDE 3.8 log points) (Table 4 and Figure</w:t>
      </w:r>
      <w:r>
        <w:t xml:space="preserve"> </w:t>
      </w:r>
      <w:r>
        <w:t xml:space="preserve">4). The pre-trend estimate was 0.7% (95% CrI, −2.3% to 4.9%;</w:t>
      </w:r>
      <w:r>
        <w:t xml:space="preserve"> </w:t>
      </w:r>
      <w:r>
        <w:rPr>
          <w:i/>
          <w:iCs/>
        </w:rPr>
        <w:t xml:space="preserve">P</w:t>
      </w:r>
      <w:r>
        <w:t xml:space="preserve">=.58), not evidence against parallel trends, but</w:t>
      </w:r>
      <w:r>
        <w:t xml:space="preserve"> </w:t>
      </w:r>
      <w:r>
        <w:t xml:space="preserve">the equivalence condition did not hold: the scaled pre-trend bound, 2.41 years times 4.8 log points, was 11.5 log</w:t>
      </w:r>
      <w:r>
        <w:t xml:space="preserve"> </w:t>
      </w:r>
      <w:r>
        <w:t xml:space="preserve">points (about 12%), far above the absolute H4 estimate of 0.4 log points. The condition could have held only for an</w:t>
      </w:r>
      <w:r>
        <w:t xml:space="preserve"> </w:t>
      </w:r>
      <w:r>
        <w:t xml:space="preserve">estimate above about 12% in absolute value, 3 times the MDE, so with one pre-period it could not support reading an</w:t>
      </w:r>
      <w:r>
        <w:t xml:space="preserve"> </w:t>
      </w:r>
      <w:r>
        <w:t xml:space="preserve">estimate of plausible size as an effect, and a trend difference of the size the pre-period allows could hide an</w:t>
      </w:r>
      <w:r>
        <w:t xml:space="preserve"> </w:t>
      </w:r>
      <w:r>
        <w:t xml:space="preserve">effect in either direction. H4 is therefore reported as a difference in spending changes that cannot be told apart</w:t>
      </w:r>
      <w:r>
        <w:t xml:space="preserve"> </w:t>
      </w:r>
      <w:r>
        <w:t xml:space="preserve">from a continuation of a pre-period difference in trends. Under parallel trends, the interval rules out a drop in</w:t>
      </w:r>
      <w:r>
        <w:t xml:space="preserve"> </w:t>
      </w:r>
      <w:r>
        <w:t xml:space="preserve">spending growth of more than about 4% or a rise of more than about 2.5%; the trend-adjusted interval (−12.0% to</w:t>
      </w:r>
      <w:r>
        <w:t xml:space="preserve"> </w:t>
      </w:r>
      <w:r>
        <w:t xml:space="preserve">2.7%) is too wide to inform.</w:t>
      </w:r>
    </w:p>
    <w:p>
      <w:pPr>
        <w:pStyle w:val="BodyText"/>
      </w:pPr>
      <w:r>
        <w:t xml:space="preserve">Attrition was uneven: by PY2024, 115 of 277 stayers (42%) had left the spending panel (72 left the program, 42 renewed</w:t>
      </w:r>
      <w:r>
        <w:t xml:space="preserve"> </w:t>
      </w:r>
      <w:r>
        <w:t xml:space="preserve">and 1 had no spending value), against 4 of 29 early renewers (14%) (eTable 8 in Multimedia Appendix 1). The balanced panel of</w:t>
      </w:r>
      <w:r>
        <w:t xml:space="preserve"> </w:t>
      </w:r>
      <w:r>
        <w:t xml:space="preserve">ACOs with all 5 years gave −1.6% (95% CrI, −5.6% to 1.6%;</w:t>
      </w:r>
      <w:r>
        <w:t xml:space="preserve"> </w:t>
      </w:r>
      <w:r>
        <w:rPr>
          <w:i/>
          <w:iCs/>
        </w:rPr>
        <w:t xml:space="preserve">P</w:t>
      </w:r>
      <w:r>
        <w:t xml:space="preserve">=.30).</w:t>
      </w:r>
    </w:p>
    <w:p>
      <w:pPr>
        <w:pStyle w:val="TableCaption"/>
      </w:pPr>
      <w:r>
        <w:t xml:space="preserve">Table 4. Spending growth after early renewal (H4), with the pre-trend and robustness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Spending growth after early renewal (H4), with the pre-trend and robustness estimates"/>
      </w:tblPr>
      <w:tblGrid>
        <w:gridCol w:w="3347"/>
        <w:gridCol w:w="1388"/>
        <w:gridCol w:w="1061"/>
        <w:gridCol w:w="1388"/>
        <w:gridCol w:w="7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/ comparison, No.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Difference,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CrI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H4, difference-in-differences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 / 276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−4.0 to 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Pre-trend, PY2020 to PY2021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/ 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−2.3 to 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Trend-adjusted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/ 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−12.0 to 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Risk-adjusted 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/ 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−2.0 to 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 panel (all 5 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/ 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−5.6 to 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Propensity-weighted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2020-01-01 cohort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/ 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−8.3 to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Two-way fixed effects (conventional;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 ACOs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−5.4 to 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.44</w:t>
            </w:r>
          </w:p>
        </w:tc>
      </w:tr>
    </w:tbl>
    <w:p>
      <w:pPr>
        <w:pStyle w:val="BodyText"/>
      </w:pPr>
      <w:r>
        <w:t xml:space="preserve">Abbreviations: CrI, credible interval; NA, not available (the propensity-weighted estimate has a permutation P value but no interval; its largest weight is 0.83); PY, performance year. The outcome is the change in log per-capita spending from PY2020-PY2021 to PY2022-PY2024, shown as a percent difference in spending growth, early renewers minus ACOs not yet renewed. A stayer’s years after it renewed into a 2023 or 2024 agreement are excluded. Equivalence condition: the pre-trend bound scaled to the distance between period midpoints (2.41 years) is 11.5 log points, above the absolute H4 estimate of 0.4 log points (1 log point = 0.01 in log spending, about 1%), so the condition does not hold and H4 is not read as an effect. The two-way fixed-effects model has one more ACO: the stayer with no post-period spending value keeps its pre-period years.</w:t>
      </w:r>
    </w:p>
    <w:p>
      <w:pPr>
        <w:pStyle w:val="CaptionedFigure"/>
      </w:pPr>
      <w:r>
        <w:drawing>
          <wp:inline>
            <wp:extent cx="5334000" cy="2103848"/>
            <wp:effectExtent b="0" l="0" r="0" t="0"/>
            <wp:docPr descr="Figure 4. Spending after early renewal. A, Event study from the conventional 2-way fixed-effects model, in log points relative to PY2021, with 95% CIs clustered by ACO. B, The registered H4 estimate and the robustness and conventional estimates, as the percent difference in spending growth with 95% intervals (the propensity-weighted estimate has no interval); sample sizes are in Table 4. TWFE, 2-way fixed effects." title="" id="47" name="Picture"/>
            <a:graphic>
              <a:graphicData uri="http://schemas.openxmlformats.org/drawingml/2006/picture">
                <pic:pic>
                  <pic:nvPicPr>
                    <pic:cNvPr descr="figures/figure4-spend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Spending after early renewal. A, Event study from the conventional 2-way fixed-effects model, in log points relative to PY2021, with 95% CIs clustered by ACO. B, The registered H4 estimate and the robustness and conventional estimates, as the percent difference in spending growth with 95% intervals (the propensity-weighted estimate has no interval); sample sizes are in Table 4. TWFE, 2-way fixed effects.</w:t>
      </w:r>
    </w:p>
    <w:bookmarkEnd w:id="49"/>
    <w:bookmarkStart w:id="50" w:name="robustness-and-conventional-methods"/>
    <w:p>
      <w:pPr>
        <w:pStyle w:val="Heading2"/>
      </w:pPr>
      <w:r>
        <w:t xml:space="preserve">Robustness and Conventional Methods</w:t>
      </w:r>
    </w:p>
    <w:p>
      <w:pPr>
        <w:pStyle w:val="FirstParagraph"/>
      </w:pPr>
      <w:r>
        <w:t xml:space="preserve">Every registered verdict agreed with its conventional counterpart (eTable 7 in Multimedia Appendix 1). For H2b, ordinary</w:t>
      </w:r>
      <w:r>
        <w:t xml:space="preserve"> </w:t>
      </w:r>
      <w:r>
        <w:t xml:space="preserve">least squares with HC2 errors gave 3.3 points (95% CI, 1.3 to 5.4;</w:t>
      </w:r>
      <w:r>
        <w:t xml:space="preserve"> </w:t>
      </w:r>
      <w:r>
        <w:rPr>
          <w:i/>
          <w:iCs/>
        </w:rPr>
        <w:t xml:space="preserve">P</w:t>
      </w:r>
      <w:r>
        <w:t xml:space="preserve">=.001), and for H3 the maximum-likelihood</w:t>
      </w:r>
      <w:r>
        <w:t xml:space="preserve"> </w:t>
      </w:r>
      <w:r>
        <w:t xml:space="preserve">odds ratios were 4.0 (95% CI, 1.2 to 13.4) for the regional pull and 4.8 (95% CI, 1.5 to 15.6) for the BASIC level;</w:t>
      </w:r>
      <w:r>
        <w:t xml:space="preserve"> </w:t>
      </w:r>
      <w:r>
        <w:t xml:space="preserve">2-way fixed effects gave −1.5% (95% CI, −5.4% to 2.4%) for H4. H2b kept its direction in every robustness check</w:t>
      </w:r>
      <w:r>
        <w:t xml:space="preserve"> </w:t>
      </w:r>
      <w:r>
        <w:t xml:space="preserve">(eTable 3 in Multimedia Appendix 1), but its size depended on the estimator: the difference in medians was 2.8 points, and the</w:t>
      </w:r>
      <w:r>
        <w:t xml:space="preserve"> </w:t>
      </w:r>
      <w:r>
        <w:t xml:space="preserve">robust (Student-t) regressions gave 2.1 (95% CrI, 0.5 to 3.8) with cohort and 2.2 (95% CrI, 0.7 to 3.8) with track,</w:t>
      </w:r>
      <w:r>
        <w:t xml:space="preserve"> </w:t>
      </w:r>
      <w:r>
        <w:t xml:space="preserve">level and size added, below the MDE of 2.5, so a few large values among early renewers carry part of the difference</w:t>
      </w:r>
      <w:r>
        <w:t xml:space="preserve"> </w:t>
      </w:r>
      <w:r>
        <w:t xml:space="preserve">in means; without the case-mix adjustment of regional spending the difference was 6.9. H2a and H1 kept their</w:t>
      </w:r>
      <w:r>
        <w:t xml:space="preserve"> </w:t>
      </w:r>
      <w:r>
        <w:t xml:space="preserve">direction but were weaker by medians (H2a,</w:t>
      </w:r>
      <w:r>
        <w:t xml:space="preserve"> </w:t>
      </w:r>
      <w:r>
        <w:rPr>
          <w:i/>
          <w:iCs/>
        </w:rPr>
        <w:t xml:space="preserve">P</w:t>
      </w:r>
      <w:r>
        <w:t xml:space="preserve">=.09; H1,</w:t>
      </w:r>
      <w:r>
        <w:t xml:space="preserve"> </w:t>
      </w:r>
      <w:r>
        <w:rPr>
          <w:i/>
          <w:iCs/>
        </w:rPr>
        <w:t xml:space="preserve">P</w:t>
      </w:r>
      <w:r>
        <w:t xml:space="preserve">=.06) and in the adjusted regressions, whose intervals</w:t>
      </w:r>
      <w:r>
        <w:t xml:space="preserve"> </w:t>
      </w:r>
      <w:r>
        <w:t xml:space="preserve">reached zero (H2a, −2.6 to 0.02; H1, −0.1 to 2.6). In H3 the BASIC-level interval stayed above zero in every check,</w:t>
      </w:r>
      <w:r>
        <w:t xml:space="preserve"> </w:t>
      </w:r>
      <w:r>
        <w:t xml:space="preserve">while the pull interval reached zero with the 2020 cohort alone (1.15; 95% CrI, −0.02 to 2.39) and with unadjusted</w:t>
      </w:r>
      <w:r>
        <w:t xml:space="preserve"> </w:t>
      </w:r>
      <w:r>
        <w:t xml:space="preserve">county spending (0.75; 95% CrI, −0.02 to 1.56) (eTable 4 in Multimedia Appendix 1).</w:t>
      </w:r>
    </w:p>
    <w:p>
      <w:pPr>
        <w:pStyle w:val="BodyText"/>
      </w:pPr>
      <w:r>
        <w:t xml:space="preserve">Among the exploratory analyses (eTables 9-11 in Multimedia Appendix 1), the 28 ACOs that left after PY2021 had the lowest</w:t>
      </w:r>
      <w:r>
        <w:t xml:space="preserve"> </w:t>
      </w:r>
      <w:r>
        <w:t xml:space="preserve">PY2020 savings rates (mean 2.7 points, against 6.4 for early renewers and 4.6 for stayers) and, for the 20 with the</w:t>
      </w:r>
      <w:r>
        <w:t xml:space="preserve"> </w:t>
      </w:r>
      <w:r>
        <w:t xml:space="preserve">variable, a mean regional pull similar to early renewers’ (4.8 vs 5.0; medians 2.0 vs 3.5) (Table 1). The 2 early</w:t>
      </w:r>
      <w:r>
        <w:t xml:space="preserve"> </w:t>
      </w:r>
      <w:r>
        <w:t xml:space="preserve">renewers already in ENHANCED, whose renewal could not raise the sharing rate, fell between the 26th and 68th</w:t>
      </w:r>
      <w:r>
        <w:t xml:space="preserve"> </w:t>
      </w:r>
      <w:r>
        <w:t xml:space="preserve">percentiles of stayers on every variable.</w:t>
      </w:r>
    </w:p>
    <w:bookmarkEnd w:id="50"/>
    <w:bookmarkEnd w:id="51"/>
    <w:bookmarkStart w:id="57" w:name="discussion"/>
    <w:p>
      <w:pPr>
        <w:pStyle w:val="Heading1"/>
      </w:pPr>
      <w:r>
        <w:t xml:space="preserve">Discussion</w:t>
      </w:r>
    </w:p>
    <w:bookmarkStart w:id="52" w:name="principal-findings"/>
    <w:p>
      <w:pPr>
        <w:pStyle w:val="Heading2"/>
      </w:pPr>
      <w:r>
        <w:t xml:space="preserve">Principal Findings</w:t>
      </w:r>
    </w:p>
    <w:p>
      <w:pPr>
        <w:pStyle w:val="FirstParagraph"/>
      </w:pPr>
      <w:r>
        <w:t xml:space="preserve">In this preregistered study of the 2019 and 2020 MSSP cohorts, ACOs that ended their agreements early to begin new</w:t>
      </w:r>
      <w:r>
        <w:t xml:space="preserve"> </w:t>
      </w:r>
      <w:r>
        <w:t xml:space="preserve">ones on average had regions that spent more relative to their current benchmarks, and, among BASIC-track ACOs, were</w:t>
      </w:r>
      <w:r>
        <w:t xml:space="preserve"> </w:t>
      </w:r>
      <w:r>
        <w:t xml:space="preserve">more often already at the higher, two-sided levels. They were also beating their benchmarks by more than ACOs that</w:t>
      </w:r>
      <w:r>
        <w:t xml:space="preserve"> </w:t>
      </w:r>
      <w:r>
        <w:t xml:space="preserve">stayed, so by the study’s approximation a reset would not on average have raised their benchmarks: the regional gain</w:t>
      </w:r>
      <w:r>
        <w:t xml:space="preserve"> </w:t>
      </w:r>
      <w:r>
        <w:t xml:space="preserve">and the own-spending loss roughly offset. CMS’s published 2022 benchmarks, examined post hoc, agree. Spending growth in the 3 years after renewal did not differ detectably from</w:t>
      </w:r>
      <w:r>
        <w:t xml:space="preserve"> </w:t>
      </w:r>
      <w:r>
        <w:t xml:space="preserve">that of ACOs not yet renewed, a result the design could not separate from a continuation of a pre-period difference in</w:t>
      </w:r>
      <w:r>
        <w:t xml:space="preserve"> </w:t>
      </w:r>
      <w:r>
        <w:t xml:space="preserve">trends.</w:t>
      </w:r>
    </w:p>
    <w:p>
      <w:pPr>
        <w:pStyle w:val="BodyText"/>
      </w:pPr>
      <w:r>
        <w:t xml:space="preserve">To the author’s knowledge, this is the first peer-reviewed study of which ACOs used the early-renewal option. It adds</w:t>
      </w:r>
      <w:r>
        <w:t xml:space="preserve"> </w:t>
      </w:r>
      <w:r>
        <w:t xml:space="preserve">3 things to the literature on how benchmark rules sort ACOs: evidence that the sorting extends from whether ACOs join</w:t>
      </w:r>
      <w:r>
        <w:t xml:space="preserve"> </w:t>
      </w:r>
      <w:r>
        <w:t xml:space="preserve">or leave to when they reset; evidence against the intuitive account that ACOs renewed early to raise their</w:t>
      </w:r>
      <w:r>
        <w:t xml:space="preserve"> </w:t>
      </w:r>
      <w:r>
        <w:t xml:space="preserve">benchmarks; and a preregistered estimate of spending after renewal, under rules that have since changed.</w:t>
      </w:r>
    </w:p>
    <w:bookmarkEnd w:id="52"/>
    <w:bookmarkStart w:id="53" w:name="comparison-with-prior-work"/>
    <w:p>
      <w:pPr>
        <w:pStyle w:val="Heading2"/>
      </w:pPr>
      <w:r>
        <w:t xml:space="preserve">Comparison With Prior Work</w:t>
      </w:r>
    </w:p>
    <w:p>
      <w:pPr>
        <w:pStyle w:val="FirstParagraph"/>
      </w:pPr>
      <w:r>
        <w:t xml:space="preserve">The primary result extends to a new decision the pattern that participation follows the benchmark formula.</w:t>
      </w:r>
      <w:r>
        <w:t xml:space="preserve"> </w:t>
      </w:r>
      <w:r>
        <w:t xml:space="preserve">Participation shifted toward providers whose spending was low relative to their region once regional spending entered</w:t>
      </w:r>
      <w:r>
        <w:t xml:space="preserve"> </w:t>
      </w:r>
      <w:r>
        <w:t xml:space="preserve">benchmarks,</w:t>
      </w:r>
      <w:r>
        <w:t xml:space="preserve">[</w:t>
      </w:r>
      <w:hyperlink w:anchor="ref-lyu2023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and ACOs whose effective benchmarks fell were more likely to leave.</w:t>
      </w:r>
      <w:r>
        <w:t xml:space="preserve">[</w:t>
      </w:r>
      <w:hyperlink w:anchor="ref-chen2025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 </w:t>
      </w:r>
      <w:r>
        <w:t xml:space="preserve">A dissertation modeling MSSP</w:t>
      </w:r>
      <w:r>
        <w:t xml:space="preserve"> </w:t>
      </w:r>
      <w:r>
        <w:t xml:space="preserve">participation found both effects of the benchmark rules: savings rates were 40% higher in years whose spending did</w:t>
      </w:r>
      <w:r>
        <w:t xml:space="preserve"> </w:t>
      </w:r>
      <w:r>
        <w:t xml:space="preserve">not enter rebasing, a ratchet effect, and ACOs with a positive regional adjustment were about 70% less likely to exit</w:t>
      </w:r>
      <w:r>
        <w:t xml:space="preserve"> </w:t>
      </w:r>
      <w:r>
        <w:t xml:space="preserve">than those with a negative one.</w:t>
      </w:r>
      <w:r>
        <w:t xml:space="preserve">[</w:t>
      </w:r>
      <w:hyperlink w:anchor="ref-cappello2026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 </w:t>
      </w:r>
      <w:r>
        <w:t xml:space="preserve">Here the choice is when to reset rather than whether to join or leave,</w:t>
      </w:r>
      <w:r>
        <w:t xml:space="preserve"> </w:t>
      </w:r>
      <w:r>
        <w:t xml:space="preserve">and early renewers had, on average, more room under their regions’ spending: the ACOs that chose an early reset were</w:t>
      </w:r>
      <w:r>
        <w:t xml:space="preserve"> </w:t>
      </w:r>
      <w:r>
        <w:t xml:space="preserve">those the regional adjustment favored. An industry analysis of the same rebasing cohort found that ACOs rebasing early in 2022 had higher gross</w:t>
      </w:r>
      <w:r>
        <w:t xml:space="preserve"> </w:t>
      </w:r>
      <w:r>
        <w:t xml:space="preserve">savings rates beforehand and that the earlier incumbents among them moved to ENHANCED,</w:t>
      </w:r>
      <w:r>
        <w:t xml:space="preserve">[</w:t>
      </w:r>
      <w:hyperlink w:anchor="ref-milliman2024">
        <w:r>
          <w:rPr>
            <w:rStyle w:val="Hyperlink"/>
          </w:rPr>
          <w:t xml:space="preserve">25</w:t>
        </w:r>
      </w:hyperlink>
      <w:r>
        <w:t xml:space="preserve">]</w:t>
      </w:r>
      <w:r>
        <w:t xml:space="preserve"> </w:t>
      </w:r>
      <w:r>
        <w:t xml:space="preserve">consistent with</w:t>
      </w:r>
      <w:r>
        <w:t xml:space="preserve"> </w:t>
      </w:r>
      <w:r>
        <w:t xml:space="preserve">H1 and the BASIC-level association here. Beyond that analysis, this study rebuilt the reset benchmark and validated it</w:t>
      </w:r>
      <w:r>
        <w:t xml:space="preserve"> </w:t>
      </w:r>
      <w:r>
        <w:t xml:space="preserve">against CMS’s, separated its own-spending and regional parts, modeled the decision within the BASIC track and followed</w:t>
      </w:r>
      <w:r>
        <w:t xml:space="preserve"> </w:t>
      </w:r>
      <w:r>
        <w:t xml:space="preserve">spending afterward, under a preregistered plan. The finding that early renewers were savers also fits reports that ACOs earning bonuses survived longer in the</w:t>
      </w:r>
      <w:r>
        <w:t xml:space="preserve"> </w:t>
      </w:r>
      <w:r>
        <w:t xml:space="preserve">program</w:t>
      </w:r>
      <w:r>
        <w:t xml:space="preserve">[</w:t>
      </w:r>
      <w:hyperlink w:anchor="ref-bleser2019">
        <w:r>
          <w:rPr>
            <w:rStyle w:val="Hyperlink"/>
          </w:rPr>
          <w:t xml:space="preserve">17</w:t>
        </w:r>
      </w:hyperlink>
      <w:r>
        <w:t xml:space="preserve">]</w:t>
      </w:r>
      <w:r>
        <w:t xml:space="preserve"> </w:t>
      </w:r>
      <w:r>
        <w:t xml:space="preserve">and, with borderline precision, that ACOs that had achieved savings were more likely to stay</w:t>
      </w:r>
      <w:r>
        <w:t xml:space="preserve"> </w:t>
      </w:r>
      <w:r>
        <w:t xml:space="preserve">after the 2019 rules.</w:t>
      </w:r>
      <w:r>
        <w:t xml:space="preserve">[</w:t>
      </w:r>
      <w:hyperlink w:anchor="ref-ying2023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 </w:t>
      </w:r>
      <w:r>
        <w:t xml:space="preserve">The same success, however, meant that the own-spending part of a reset would</w:t>
      </w:r>
      <w:r>
        <w:t xml:space="preserve"> </w:t>
      </w:r>
      <w:r>
        <w:t xml:space="preserve">have cut their benchmarks. The intuitive account that ACOs renewed early to get a higher benchmark therefore does not</w:t>
      </w:r>
      <w:r>
        <w:t xml:space="preserve"> </w:t>
      </w:r>
      <w:r>
        <w:t xml:space="preserve">describe them on average, and CMS’s published 2022 benchmarks, examined post hoc, agree.</w:t>
      </w:r>
      <w:r>
        <w:t xml:space="preserve"> </w:t>
      </w:r>
      <w:r>
        <w:t xml:space="preserve">That the size of the regional difference doubled without case-mix adjustment is consistent with evidence that</w:t>
      </w:r>
      <w:r>
        <w:t xml:space="preserve"> </w:t>
      </w:r>
      <w:r>
        <w:t xml:space="preserve">comparisons of ACOs with their regions depend heavily on risk adjustment.</w:t>
      </w:r>
      <w:r>
        <w:t xml:space="preserve">[</w:t>
      </w:r>
      <w:hyperlink w:anchor="ref-rose2016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 </w:t>
      </w:r>
      <w:r>
        <w:t xml:space="preserve">The concern that rebasing rewards</w:t>
      </w:r>
      <w:r>
        <w:t xml:space="preserve"> </w:t>
      </w:r>
      <w:r>
        <w:t xml:space="preserve">higher spending before a new agreement</w:t>
      </w:r>
      <w:r>
        <w:t xml:space="preserve">[</w:t>
      </w:r>
      <w:hyperlink w:anchor="ref-douven2015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 </w:t>
      </w:r>
      <w:r>
        <w:t xml:space="preserve">could be neither confirmed nor excluded here, and the costs to</w:t>
      </w:r>
      <w:r>
        <w:t xml:space="preserve"> </w:t>
      </w:r>
      <w:r>
        <w:t xml:space="preserve">Medicare of early renewal, which earlier work estimated for departures,</w:t>
      </w:r>
      <w:r>
        <w:t xml:space="preserve">[</w:t>
      </w:r>
      <w:hyperlink w:anchor="ref-moloci2021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 </w:t>
      </w:r>
      <w:r>
        <w:t xml:space="preserve">were not estimated.</w:t>
      </w:r>
    </w:p>
    <w:p>
      <w:pPr>
        <w:pStyle w:val="BodyText"/>
      </w:pPr>
      <w:r>
        <w:t xml:space="preserve">The association with a higher BASIC level bears on the sharing-rate motive at least as much as on the reset motive.</w:t>
      </w:r>
      <w:r>
        <w:t xml:space="preserve"> </w:t>
      </w:r>
      <w:r>
        <w:t xml:space="preserve">In these data renewing early and moving to ENHANCED were one choice: 26 of the 27 BASIC-track early renewers moved to ENHANCED, and the rules let no stayer do so. ACOs already bearing two-sided risk at Level E faced a short step to ENHANCED’s 75%</w:t>
      </w:r>
      <w:r>
        <w:t xml:space="preserve"> </w:t>
      </w:r>
      <w:r>
        <w:t xml:space="preserve">sharing rate. Because ACOs partly choose their BASIC level, and ACOs experienced with performance-based risk could</w:t>
      </w:r>
      <w:r>
        <w:t xml:space="preserve"> </w:t>
      </w:r>
      <w:r>
        <w:t xml:space="preserve">enter only Level E or ENHANCED,</w:t>
      </w:r>
      <w:r>
        <w:t xml:space="preserve">[</w:t>
      </w:r>
      <w:hyperlink w:anchor="ref-cfr425600">
        <w:r>
          <w:rPr>
            <w:rStyle w:val="Hyperlink"/>
          </w:rPr>
          <w:t xml:space="preserve">36</w:t>
        </w:r>
      </w:hyperlink>
      <w:r>
        <w:t xml:space="preserve">]</w:t>
      </w:r>
      <w:r>
        <w:t xml:space="preserve"> </w:t>
      </w:r>
      <w:r>
        <w:t xml:space="preserve">the association may also reflect earlier risk experience or appetite rather</w:t>
      </w:r>
      <w:r>
        <w:t xml:space="preserve"> </w:t>
      </w:r>
      <w:r>
        <w:t xml:space="preserve">than only proximity to ENHANCED. A high regional pull is also a plausible reason to want the higher rate,</w:t>
      </w:r>
      <w:r>
        <w:t xml:space="preserve"> </w:t>
      </w:r>
      <w:r>
        <w:t xml:space="preserve">because an ACO with room under its region’s spending may expect larger savings to share. The 2 early renewers</w:t>
      </w:r>
      <w:r>
        <w:t xml:space="preserve"> </w:t>
      </w:r>
      <w:r>
        <w:t xml:space="preserve">already in ENHANCED, for whom only the reset could change, looked like typical stayers on every variable, but 2 ACOs</w:t>
      </w:r>
      <w:r>
        <w:t xml:space="preserve"> </w:t>
      </w:r>
      <w:r>
        <w:t xml:space="preserve">cannot separate the motives. No test here can rule either motive in or out.</w:t>
      </w:r>
    </w:p>
    <w:bookmarkEnd w:id="53"/>
    <w:bookmarkStart w:id="54" w:name="implications"/>
    <w:p>
      <w:pPr>
        <w:pStyle w:val="Heading2"/>
      </w:pPr>
      <w:r>
        <w:t xml:space="preserve">Implications</w:t>
      </w:r>
    </w:p>
    <w:p>
      <w:pPr>
        <w:pStyle w:val="FirstParagraph"/>
      </w:pPr>
      <w:r>
        <w:t xml:space="preserve">For program design, the results suggest that the early-renewal option let ACOs choose when to reset, and that those</w:t>
      </w:r>
      <w:r>
        <w:t xml:space="preserve"> </w:t>
      </w:r>
      <w:r>
        <w:t xml:space="preserve">that used it were, by the approximation, positioned to gain from the regional adjustment rather than from a higher</w:t>
      </w:r>
      <w:r>
        <w:t xml:space="preserve"> </w:t>
      </w:r>
      <w:r>
        <w:t xml:space="preserve">benchmark overall, with a higher sharing rate available to almost all of them. The 2024 rules also offer a test: 34</w:t>
      </w:r>
      <w:r>
        <w:t xml:space="preserve"> </w:t>
      </w:r>
      <w:r>
        <w:t xml:space="preserve">stayers renewed early into 2024 agreements under them. That is selection into an option the</w:t>
      </w:r>
      <w:r>
        <w:t xml:space="preserve"> </w:t>
      </w:r>
      <w:r>
        <w:t xml:space="preserve">program created; it is not evidence that renewing changed spending. The rules have since changed. For agreement</w:t>
      </w:r>
      <w:r>
        <w:t xml:space="preserve"> </w:t>
      </w:r>
      <w:r>
        <w:t xml:space="preserve">periods beginning January 1, 2024 or later, an ACO that saved in its benchmark years can receive a prior savings</w:t>
      </w:r>
      <w:r>
        <w:t xml:space="preserve"> </w:t>
      </w:r>
      <w:r>
        <w:t xml:space="preserve">adjustment, and its benchmark gets the higher of that adjustment and the regional adjustment; negative regional</w:t>
      </w:r>
      <w:r>
        <w:t xml:space="preserve"> </w:t>
      </w:r>
      <w:r>
        <w:t xml:space="preserve">adjustments are partly offset; and the annual update blends in a fixed projected trend.</w:t>
      </w:r>
      <w:r>
        <w:t xml:space="preserve">[</w:t>
      </w:r>
      <w:hyperlink w:anchor="ref-cfr2024">
        <w:r>
          <w:rPr>
            <w:rStyle w:val="Hyperlink"/>
          </w:rPr>
          <w:t xml:space="preserve">61</w:t>
        </w:r>
      </w:hyperlink>
      <w:r>
        <w:t xml:space="preserve">]</w:t>
      </w:r>
      <w:r>
        <w:t xml:space="preserve"> </w:t>
      </w:r>
      <w:r>
        <w:t xml:space="preserve">Under these rules</w:t>
      </w:r>
      <w:r>
        <w:t xml:space="preserve"> </w:t>
      </w:r>
      <w:r>
        <w:t xml:space="preserve">a reset costs an ACO that has been beating its benchmark less, so the incentive to renew early, and which ACOs do so,</w:t>
      </w:r>
      <w:r>
        <w:t xml:space="preserve"> </w:t>
      </w:r>
      <w:r>
        <w:t xml:space="preserve">may differ. Two questions remain open: what early renewal cost Medicare, and how much of the choice reflected the</w:t>
      </w:r>
      <w:r>
        <w:t xml:space="preserve"> </w:t>
      </w:r>
      <w:r>
        <w:t xml:space="preserve">sharing rate rather than the benchmark, which a period in which ACOs could move to ENHANCED without resetting would</w:t>
      </w:r>
      <w:r>
        <w:t xml:space="preserve"> </w:t>
      </w:r>
      <w:r>
        <w:t xml:space="preserve">separate.</w:t>
      </w:r>
    </w:p>
    <w:bookmarkEnd w:id="54"/>
    <w:bookmarkStart w:id="55" w:name="strengths-and-limitations"/>
    <w:p>
      <w:pPr>
        <w:pStyle w:val="Heading2"/>
      </w:pPr>
      <w:r>
        <w:t xml:space="preserve">Strengths and Limitations</w:t>
      </w:r>
    </w:p>
    <w:p>
      <w:pPr>
        <w:pStyle w:val="FirstParagraph"/>
      </w:pPr>
      <w:r>
        <w:t xml:space="preserve">The study’s strengths are in its design. The plan, decision rules and code were registered before any outcome data</w:t>
      </w:r>
      <w:r>
        <w:t xml:space="preserve"> </w:t>
      </w:r>
      <w:r>
        <w:t xml:space="preserve">were read, and the code enforced that order; the benchmark CMS does not publish was rebuilt from the regulation and</w:t>
      </w:r>
      <w:r>
        <w:t xml:space="preserve"> </w:t>
      </w:r>
      <w:r>
        <w:t xml:space="preserve">validated before use; the measurement error found in validation was carried into the decision model; and every</w:t>
      </w:r>
      <w:r>
        <w:t xml:space="preserve"> </w:t>
      </w:r>
      <w:r>
        <w:t xml:space="preserve">registered verdict agreed with its conventional frequentist counterpart. The code, data snapshot and results are</w:t>
      </w:r>
      <w:r>
        <w:t xml:space="preserve"> </w:t>
      </w:r>
      <w:r>
        <w:t xml:space="preserve">public, so every estimate can be rerun.</w:t>
      </w:r>
    </w:p>
    <w:p>
      <w:pPr>
        <w:pStyle w:val="BodyText"/>
      </w:pPr>
      <w:r>
        <w:t xml:space="preserve">It also has limitations. First, the motives are bundled, and the regional pull, though it has no term for</w:t>
      </w:r>
      <w:r>
        <w:t xml:space="preserve"> </w:t>
      </w:r>
      <w:r>
        <w:t xml:space="preserve">benchmark-year spending, is not free of the ACO’s own data: its benchmark was set from earlier spending, and regional</w:t>
      </w:r>
      <w:r>
        <w:t xml:space="preserve"> </w:t>
      </w:r>
      <w:r>
        <w:t xml:space="preserve">spending is adjusted with the ACO’s own PY2021 risk scores, so a high pull partly measures how low-cost the ACO had</w:t>
      </w:r>
      <w:r>
        <w:t xml:space="preserve"> </w:t>
      </w:r>
      <w:r>
        <w:t xml:space="preserve">been relative to its region and may carry differences in coding intensity. The case-mix adjustment has no published</w:t>
      </w:r>
      <w:r>
        <w:t xml:space="preserve"> </w:t>
      </w:r>
      <w:r>
        <w:t xml:space="preserve">counterpart to validate it. Second, the expected gain is an approximation built from final PY2021 data that ACOs did</w:t>
      </w:r>
      <w:r>
        <w:t xml:space="preserve"> </w:t>
      </w:r>
      <w:r>
        <w:t xml:space="preserve">not have when they decided. Validation was on benchmark levels, which vary widely across ACOs, while the hypotheses</w:t>
      </w:r>
      <w:r>
        <w:t xml:space="preserve"> </w:t>
      </w:r>
      <w:r>
        <w:t xml:space="preserve">concern differences of a few points of the benchmark, so it says less about the accuracy of the gain than its</w:t>
      </w:r>
      <w:r>
        <w:t xml:space="preserve"> </w:t>
      </w:r>
      <w:r>
        <w:t xml:space="preserve">correlation suggests: repeated post hoc on the change scale, it gave a Spearman correlation of 0.61 and a median</w:t>
      </w:r>
      <w:r>
        <w:t xml:space="preserve"> </w:t>
      </w:r>
      <w:r>
        <w:t xml:space="preserve">absolute error of 1.7 points with little mean bias (−0.3), so group means are better supported than any one ACO’s</w:t>
      </w:r>
      <w:r>
        <w:t xml:space="preserve"> </w:t>
      </w:r>
      <w:r>
        <w:t xml:space="preserve">value; the own-spending component’s estimated error exceeds its spread, so H2a and the total gain are weak evidence for any single ACO, and the regional</w:t>
      </w:r>
      <w:r>
        <w:t xml:space="preserve"> </w:t>
      </w:r>
      <w:r>
        <w:t xml:space="preserve">part could not be checked. Third, with 29 early renewers, 24 in the decision model, H3 was underpowered and its</w:t>
      </w:r>
      <w:r>
        <w:t xml:space="preserve"> </w:t>
      </w:r>
      <w:r>
        <w:t xml:space="preserve">supported coefficients are probably overestimates. ACOs under common ownership may decide together, and ACOs in the</w:t>
      </w:r>
      <w:r>
        <w:t xml:space="preserve"> </w:t>
      </w:r>
      <w:r>
        <w:t xml:space="preserve">same market share regional spending, so the effective sample is smaller than the ACO count, and the permutation tests,</w:t>
      </w:r>
      <w:r>
        <w:t xml:space="preserve"> </w:t>
      </w:r>
      <w:r>
        <w:t xml:space="preserve">which treat ACOs as exchangeable within cohort, may overstate precision. Fourth, exclusions exceeded the plan’s 10% line in both groups,</w:t>
      </w:r>
      <w:r>
        <w:t xml:space="preserve"> </w:t>
      </w:r>
      <w:r>
        <w:t xml:space="preserve">and the excluded ACOs were smaller, so H2a, H2b and H3 describe the larger ACOs. Fifth, H4 had one COVID-19-affected</w:t>
      </w:r>
      <w:r>
        <w:t xml:space="preserve"> </w:t>
      </w:r>
      <w:r>
        <w:t xml:space="preserve">pre-period; uneven attrition left the comparison group’s later years increasingly selected; the decision was made</w:t>
      </w:r>
      <w:r>
        <w:t xml:space="preserve"> </w:t>
      </w:r>
      <w:r>
        <w:t xml:space="preserve">during 2021, the last pre-period year and a benchmark year of the new agreement, while trade groups were asking CMS to allow</w:t>
      </w:r>
      <w:r>
        <w:t xml:space="preserve"> </w:t>
      </w:r>
      <w:r>
        <w:t xml:space="preserve">pre-pandemic benchmark years,</w:t>
      </w:r>
      <w:r>
        <w:t xml:space="preserve">[</w:t>
      </w:r>
      <w:hyperlink w:anchor="ref-aha2021">
        <w:r>
          <w:rPr>
            <w:rStyle w:val="Hyperlink"/>
          </w:rPr>
          <w:t xml:space="preserve">62</w:t>
        </w:r>
      </w:hyperlink>
      <w:r>
        <w:t xml:space="preserve">]</w:t>
      </w:r>
      <w:r>
        <w:t xml:space="preserve"> </w:t>
      </w:r>
      <w:r>
        <w:t xml:space="preserve">so anticipation and timing effects are possible; and</w:t>
      </w:r>
      <w:r>
        <w:t xml:space="preserve"> </w:t>
      </w:r>
      <w:r>
        <w:t xml:space="preserve">spending can move through changes in participant lists or assignment method (which changed at PY2022 for 2 of 29</w:t>
      </w:r>
      <w:r>
        <w:t xml:space="preserve"> </w:t>
      </w:r>
      <w:r>
        <w:t xml:space="preserve">early renewers and 14 of 277 stayers) rather than through behavior. Sixth, the base population required a PY2021 enrollment record (22 cohort ACOs left before then); stayers include</w:t>
      </w:r>
      <w:r>
        <w:t xml:space="preserve"> </w:t>
      </w:r>
      <w:r>
        <w:t xml:space="preserve">42 ACOs that renewed early in 2023 or 2024, so H2 and H3 describe the 2022 decision rather than early renewal at any</w:t>
      </w:r>
      <w:r>
        <w:t xml:space="preserve"> </w:t>
      </w:r>
      <w:r>
        <w:t xml:space="preserve">time; and leavers, a third choice with a mean pull similar to early renewers’, were set aside by</w:t>
      </w:r>
      <w:r>
        <w:t xml:space="preserve"> </w:t>
      </w:r>
      <w:r>
        <w:t xml:space="preserve">comparing early renewers only with stayers. Seventh, the results describe the rules for agreements beginning in 2022.</w:t>
      </w:r>
      <w:r>
        <w:t xml:space="preserve"> </w:t>
      </w:r>
      <w:r>
        <w:t xml:space="preserve">Finally, the analysis reads its table without a fixed row order, so a rerun reproduces deterministic values exactly</w:t>
      </w:r>
      <w:r>
        <w:t xml:space="preserve"> </w:t>
      </w:r>
      <w:r>
        <w:t xml:space="preserve">but resampled and simulated values only within simulation error (for example, H1’s simulated power at the MDE was</w:t>
      </w:r>
      <w:r>
        <w:t xml:space="preserve"> </w:t>
      </w:r>
      <w:r>
        <w:t xml:space="preserve">80.4% as committed and 77.6% in a rerun from a fresh clone), far from changing any verdict.</w:t>
      </w:r>
    </w:p>
    <w:bookmarkEnd w:id="55"/>
    <w:bookmarkStart w:id="56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ACOs that renewed early into 2022 MSSP agreements more often had regions that spent more relative to their benchmarks</w:t>
      </w:r>
      <w:r>
        <w:t xml:space="preserve"> </w:t>
      </w:r>
      <w:r>
        <w:t xml:space="preserve">and were more often at higher BASIC levels, for which renewal opened the ENHANCED track. By the study’s</w:t>
      </w:r>
      <w:r>
        <w:t xml:space="preserve"> </w:t>
      </w:r>
      <w:r>
        <w:t xml:space="preserve">approximation, and in CMS’s published 2022 benchmarks examined post hoc, the reset did not on average raise their</w:t>
      </w:r>
      <w:r>
        <w:t xml:space="preserve"> </w:t>
      </w:r>
      <w:r>
        <w:t xml:space="preserve">benchmarks, and spending growth afterward showed no</w:t>
      </w:r>
      <w:r>
        <w:t xml:space="preserve"> </w:t>
      </w:r>
      <w:r>
        <w:t xml:space="preserve">detectable difference. These are associations under the 2022 rules, measured with public data under a preregistered</w:t>
      </w:r>
      <w:r>
        <w:t xml:space="preserve"> </w:t>
      </w:r>
      <w:r>
        <w:t xml:space="preserve">plan. They extend the evidence that ACOs sort on benchmark rules to the timing of resets and give a baseline for the</w:t>
      </w:r>
      <w:r>
        <w:t xml:space="preserve"> </w:t>
      </w:r>
      <w:r>
        <w:t xml:space="preserve">rules in force since 2024.</w:t>
      </w:r>
    </w:p>
    <w:bookmarkEnd w:id="56"/>
    <w:bookmarkEnd w:id="57"/>
    <w:bookmarkStart w:id="58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The author declared no financial support was received for this work.</w:t>
      </w:r>
    </w:p>
    <w:bookmarkEnd w:id="58"/>
    <w:bookmarkStart w:id="59" w:name="conflicts-of-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The author is employed as a data scientist at Indiana University Health. This study was conducted independently of</w:t>
      </w:r>
      <w:r>
        <w:t xml:space="preserve"> </w:t>
      </w:r>
      <w:r>
        <w:t xml:space="preserve">that employment, using only public data, and Indiana University Health had no role in its design, analysis,</w:t>
      </w:r>
      <w:r>
        <w:t xml:space="preserve"> </w:t>
      </w:r>
      <w:r>
        <w:t xml:space="preserve">interpretation or reporting. The author declares no other competing interests. The views expressed are the author’s</w:t>
      </w:r>
      <w:r>
        <w:t xml:space="preserve"> </w:t>
      </w:r>
      <w:r>
        <w:t xml:space="preserve">own and do not represent the official positions of Indiana University Health.</w:t>
      </w:r>
    </w:p>
    <w:bookmarkEnd w:id="59"/>
    <w:bookmarkStart w:id="60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data are public CMS files.</w:t>
      </w:r>
      <w:r>
        <w:t xml:space="preserve">[</w:t>
      </w:r>
      <w:hyperlink w:anchor="ref-dataacos">
        <w:r>
          <w:rPr>
            <w:rStyle w:val="Hyperlink"/>
          </w:rPr>
          <w:t xml:space="preserve">24</w:t>
        </w:r>
      </w:hyperlink>
      <w:r>
        <w:t xml:space="preserve">,</w:t>
      </w:r>
      <w:hyperlink w:anchor="ref-dataresults">
        <w:r>
          <w:rPr>
            <w:rStyle w:val="Hyperlink"/>
          </w:rPr>
          <w:t xml:space="preserve">30</w:t>
        </w:r>
      </w:hyperlink>
      <w:r>
        <w:t xml:space="preserve">–</w:t>
      </w:r>
      <w:hyperlink w:anchor="ref-dataassigned">
        <w:r>
          <w:rPr>
            <w:rStyle w:val="Hyperlink"/>
          </w:rPr>
          <w:t xml:space="preserve">32</w:t>
        </w:r>
      </w:hyperlink>
      <w:r>
        <w:t xml:space="preserve">]</w:t>
      </w:r>
      <w:r>
        <w:t xml:space="preserve"> </w:t>
      </w:r>
      <w:r>
        <w:t xml:space="preserve">The list of the 40 files</w:t>
      </w:r>
      <w:r>
        <w:t xml:space="preserve"> </w:t>
      </w:r>
      <w:r>
        <w:t xml:space="preserve">downloaded, with sizes, SHA-256 hashes and URLs, and a script that downloads and verifies them are in the study</w:t>
      </w:r>
      <w:r>
        <w:t xml:space="preserve"> </w:t>
      </w:r>
      <w:r>
        <w:t xml:space="preserve">repository;</w:t>
      </w:r>
      <w:r>
        <w:t xml:space="preserve">[</w:t>
      </w:r>
      <w:hyperlink w:anchor="ref-code">
        <w:r>
          <w:rPr>
            <w:rStyle w:val="Hyperlink"/>
          </w:rPr>
          <w:t xml:space="preserve">29</w:t>
        </w:r>
      </w:hyperlink>
      <w:r>
        <w:t xml:space="preserve">]</w:t>
      </w:r>
      <w:r>
        <w:t xml:space="preserve"> </w:t>
      </w:r>
      <w:r>
        <w:t xml:space="preserve">an archived copy of the snapshot and the results notebook exports are in the OSF</w:t>
      </w:r>
      <w:r>
        <w:t xml:space="preserve"> </w:t>
      </w:r>
      <w:r>
        <w:t xml:space="preserve">project.</w:t>
      </w:r>
      <w:r>
        <w:t xml:space="preserve">[</w:t>
      </w:r>
      <w:hyperlink w:anchor="ref-osfproject">
        <w:r>
          <w:rPr>
            <w:rStyle w:val="Hyperlink"/>
          </w:rPr>
          <w:t xml:space="preserve">33</w:t>
        </w:r>
      </w:hyperlink>
      <w:r>
        <w:t xml:space="preserve">]</w:t>
      </w:r>
      <w:r>
        <w:t xml:space="preserve"> </w:t>
      </w:r>
      <w:r>
        <w:t xml:space="preserve">The committed results files, from which every table and figure here is generated, are in the</w:t>
      </w:r>
      <w:r>
        <w:t xml:space="preserve"> </w:t>
      </w:r>
      <w:r>
        <w:t xml:space="preserve">study repository and in this manuscript’s repository.</w:t>
      </w:r>
      <w:r>
        <w:t xml:space="preserve">[</w:t>
      </w:r>
      <w:hyperlink w:anchor="ref-paperrepo">
        <w:r>
          <w:rPr>
            <w:rStyle w:val="Hyperlink"/>
          </w:rPr>
          <w:t xml:space="preserve">63</w:t>
        </w:r>
      </w:hyperlink>
      <w:r>
        <w:t xml:space="preserve">]</w:t>
      </w:r>
      <w:r>
        <w:t xml:space="preserve"> </w:t>
      </w:r>
      <w:r>
        <w:t xml:space="preserve">The registered</w:t>
      </w:r>
      <w:r>
        <w:t xml:space="preserve"> </w:t>
      </w:r>
      <w:r>
        <w:t xml:space="preserve">analysis code (commit a4064f5), its tests and step-by-step instructions to rerun and adapt the analysis are in the study repository.</w:t>
      </w:r>
      <w:r>
        <w:t xml:space="preserve">[</w:t>
      </w:r>
      <w:hyperlink w:anchor="ref-code">
        <w:r>
          <w:rPr>
            <w:rStyle w:val="Hyperlink"/>
          </w:rPr>
          <w:t xml:space="preserve">29</w:t>
        </w:r>
      </w:hyperlink>
      <w:r>
        <w:t xml:space="preserve">]</w:t>
      </w:r>
      <w:r>
        <w:t xml:space="preserve"> </w:t>
      </w:r>
      <w:r>
        <w:t xml:space="preserve">A longer account</w:t>
      </w:r>
      <w:r>
        <w:t xml:space="preserve"> </w:t>
      </w:r>
      <w:r>
        <w:t xml:space="preserve">of the study for a general audience was published online.</w:t>
      </w:r>
      <w:r>
        <w:t xml:space="preserve">[</w:t>
      </w:r>
      <w:hyperlink w:anchor="ref-post">
        <w:r>
          <w:rPr>
            <w:rStyle w:val="Hyperlink"/>
          </w:rPr>
          <w:t xml:space="preserve">64</w:t>
        </w:r>
      </w:hyperlink>
      <w:r>
        <w:t xml:space="preserve">]</w:t>
      </w:r>
    </w:p>
    <w:bookmarkEnd w:id="60"/>
    <w:bookmarkStart w:id="61" w:name="authors-contributions"/>
    <w:p>
      <w:pPr>
        <w:pStyle w:val="Heading1"/>
      </w:pPr>
      <w:r>
        <w:t xml:space="preserve">Authors’ Contributions</w:t>
      </w:r>
    </w:p>
    <w:p>
      <w:pPr>
        <w:pStyle w:val="FirstParagraph"/>
      </w:pPr>
      <w:r>
        <w:t xml:space="preserve">STH: conceptualization, data curation, formal analysis, investigation, methodology, software, validation,</w:t>
      </w:r>
      <w:r>
        <w:t xml:space="preserve"> </w:t>
      </w:r>
      <w:r>
        <w:t xml:space="preserve">visualization, writing (original draft) and writing (review and editing). STH is accountable for all aspects of the</w:t>
      </w:r>
      <w:r>
        <w:t xml:space="preserve"> </w:t>
      </w:r>
      <w:r>
        <w:t xml:space="preserve">work.</w:t>
      </w:r>
    </w:p>
    <w:bookmarkEnd w:id="61"/>
    <w:bookmarkStart w:id="62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ACO: accountable care organization</w:t>
      </w:r>
      <w:r>
        <w:br/>
      </w:r>
      <w:r>
        <w:t xml:space="preserve">CFR: Code of Federal Regulations</w:t>
      </w:r>
      <w:r>
        <w:br/>
      </w:r>
      <w:r>
        <w:t xml:space="preserve">CMS: Centers for Medicare &amp; Medicaid Services</w:t>
      </w:r>
      <w:r>
        <w:br/>
      </w:r>
      <w:r>
        <w:t xml:space="preserve">CrI: credible interval</w:t>
      </w:r>
      <w:r>
        <w:br/>
      </w:r>
      <w:r>
        <w:t xml:space="preserve">ESRD: end-stage renal disease</w:t>
      </w:r>
      <w:r>
        <w:br/>
      </w:r>
      <w:r>
        <w:t xml:space="preserve">MDE: minimum detectable effect</w:t>
      </w:r>
      <w:r>
        <w:br/>
      </w:r>
      <w:r>
        <w:t xml:space="preserve">MSSP: Medicare Shared Savings Program</w:t>
      </w:r>
      <w:r>
        <w:br/>
      </w:r>
      <w:r>
        <w:t xml:space="preserve">OSF: Open Science Framework</w:t>
      </w:r>
      <w:r>
        <w:br/>
      </w:r>
      <w:r>
        <w:t xml:space="preserve">PY: performance year</w:t>
      </w:r>
    </w:p>
    <w:bookmarkEnd w:id="62"/>
    <w:bookmarkStart w:id="191" w:name="references"/>
    <w:p>
      <w:pPr>
        <w:pStyle w:val="Heading1"/>
      </w:pPr>
      <w:r>
        <w:t xml:space="preserve">References</w:t>
      </w:r>
    </w:p>
    <w:bookmarkStart w:id="190" w:name="refs"/>
    <w:bookmarkStart w:id="64" w:name="ref-cfr42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Centers for Medicare &amp; Medicaid Services. 42</w:t>
      </w:r>
      <w:r>
        <w:t xml:space="preserve"> </w:t>
      </w:r>
      <w:r>
        <w:t xml:space="preserve">CFR</w:t>
      </w:r>
      <w:r>
        <w:t xml:space="preserve"> </w:t>
      </w:r>
      <w:r>
        <w:t xml:space="preserve">part 425:</w:t>
      </w:r>
      <w:r>
        <w:t xml:space="preserve"> </w:t>
      </w:r>
      <w:r>
        <w:t xml:space="preserve">Medicare</w:t>
      </w:r>
      <w:r>
        <w:t xml:space="preserve"> </w:t>
      </w:r>
      <w:r>
        <w:t xml:space="preserve">Shared</w:t>
      </w:r>
      <w:r>
        <w:t xml:space="preserve"> </w:t>
      </w:r>
      <w:r>
        <w:t xml:space="preserve">Savings</w:t>
      </w:r>
      <w:r>
        <w:t xml:space="preserve"> </w:t>
      </w:r>
      <w:r>
        <w:t xml:space="preserve">Program</w:t>
      </w:r>
      <w:r>
        <w:t xml:space="preserve">. Published online 2022.</w:t>
      </w:r>
      <w:r>
        <w:t xml:space="preserve"> </w:t>
      </w:r>
      <w:hyperlink r:id="rId63">
        <w:r>
          <w:rPr>
            <w:rStyle w:val="Hyperlink"/>
          </w:rPr>
          <w:t xml:space="preserve">https://www.ecfr.gov/on/2022-01-01/title-42/chapter-IV/subchapter-B/part-425</w:t>
        </w:r>
      </w:hyperlink>
    </w:p>
    <w:bookmarkEnd w:id="64"/>
    <w:bookmarkStart w:id="66" w:name="ref-sspfastfacts2026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Centers for Medicare &amp; Medicaid Services. Shared</w:t>
      </w:r>
      <w:r>
        <w:t xml:space="preserve"> </w:t>
      </w:r>
      <w:r>
        <w:t xml:space="preserve">Savings</w:t>
      </w:r>
      <w:r>
        <w:t xml:space="preserve"> </w:t>
      </w:r>
      <w:r>
        <w:t xml:space="preserve">Program</w:t>
      </w:r>
      <w:r>
        <w:t xml:space="preserve"> </w:t>
      </w:r>
      <w:r>
        <w:t xml:space="preserve">fast facts: As of</w:t>
      </w:r>
      <w:r>
        <w:t xml:space="preserve"> </w:t>
      </w:r>
      <w:r>
        <w:t xml:space="preserve">January</w:t>
      </w:r>
      <w:r>
        <w:t xml:space="preserve"> </w:t>
      </w:r>
      <w:r>
        <w:t xml:space="preserve">1, 2026. Published online 2026.</w:t>
      </w:r>
      <w:r>
        <w:t xml:space="preserve"> </w:t>
      </w:r>
      <w:hyperlink r:id="rId65">
        <w:r>
          <w:rPr>
            <w:rStyle w:val="Hyperlink"/>
          </w:rPr>
          <w:t xml:space="preserve">https://www.cms.gov/files/document/2026-shared-savings-program-fast-facts.pdf</w:t>
        </w:r>
      </w:hyperlink>
    </w:p>
    <w:bookmarkEnd w:id="66"/>
    <w:bookmarkStart w:id="68" w:name="ref-cfr42560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Centers for Medicare &amp; Medicaid Services. 42</w:t>
      </w:r>
      <w:r>
        <w:t xml:space="preserve"> </w:t>
      </w:r>
      <w:r>
        <w:t xml:space="preserve">CFR</w:t>
      </w:r>
      <w:r>
        <w:t xml:space="preserve"> </w:t>
      </w:r>
      <w:r>
        <w:t xml:space="preserve">425.601:</w:t>
      </w:r>
      <w:r>
        <w:t xml:space="preserve"> </w:t>
      </w:r>
      <w:r>
        <w:t xml:space="preserve">Establishing</w:t>
      </w:r>
      <w:r>
        <w:t xml:space="preserve">, adjusting, and updating the benchmark for agreement periods beginning on</w:t>
      </w:r>
      <w:r>
        <w:t xml:space="preserve"> </w:t>
      </w:r>
      <w:r>
        <w:t xml:space="preserve">July</w:t>
      </w:r>
      <w:r>
        <w:t xml:space="preserve"> </w:t>
      </w:r>
      <w:r>
        <w:t xml:space="preserve">1, 2019, and in subsequent years. Published online 2022.</w:t>
      </w:r>
      <w:r>
        <w:t xml:space="preserve"> </w:t>
      </w:r>
      <w:hyperlink r:id="rId67">
        <w:r>
          <w:rPr>
            <w:rStyle w:val="Hyperlink"/>
          </w:rPr>
          <w:t xml:space="preserve">https://www.ecfr.gov/on/2022-01-01/title-42/chapter-IV/subchapter-B/part-425/subpart-G/section-425.601</w:t>
        </w:r>
      </w:hyperlink>
    </w:p>
    <w:bookmarkEnd w:id="68"/>
    <w:bookmarkStart w:id="70" w:name="ref-mcwilliams201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McWilliams JM, Hatfield LA, Chernew ME, Landon BE, Schwartz AL. Early Performance of Accountable Care Organizations in Medicare.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 2016;374(24):2357-2366. doi:</w:t>
      </w:r>
      <w:hyperlink r:id="rId69">
        <w:r>
          <w:rPr>
            <w:rStyle w:val="Hyperlink"/>
          </w:rPr>
          <w:t xml:space="preserve">10.1056/nejmsa1600142</w:t>
        </w:r>
      </w:hyperlink>
    </w:p>
    <w:bookmarkEnd w:id="70"/>
    <w:bookmarkStart w:id="72" w:name="ref-mcwilliams2018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McWilliams JM, Hatfield LA, Landon BE, Hamed P, Chernew ME. Medicare Spending after 3 Years of the Medicare Shared Savings Program.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 2018;379(12):1139-1149. doi:</w:t>
      </w:r>
      <w:hyperlink r:id="rId71">
        <w:r>
          <w:rPr>
            <w:rStyle w:val="Hyperlink"/>
          </w:rPr>
          <w:t xml:space="preserve">10.1056/nejmsa1803388</w:t>
        </w:r>
      </w:hyperlink>
    </w:p>
    <w:bookmarkEnd w:id="72"/>
    <w:bookmarkStart w:id="74" w:name="ref-bond2025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Bond AM, Civelek Y, Schpero WL, et al. Long-Term Spending of Accountable Care Organizations in the Medicare Shared Savings Program.</w:t>
      </w:r>
      <w:r>
        <w:t xml:space="preserve"> </w:t>
      </w:r>
      <w:r>
        <w:rPr>
          <w:i/>
          <w:iCs/>
        </w:rPr>
        <w:t xml:space="preserve">JAMA</w:t>
      </w:r>
      <w:r>
        <w:t xml:space="preserve">. 2025;333(21):1897-1905. doi:</w:t>
      </w:r>
      <w:hyperlink r:id="rId73">
        <w:r>
          <w:rPr>
            <w:rStyle w:val="Hyperlink"/>
          </w:rPr>
          <w:t xml:space="preserve">10.1001/jama.2025.3870</w:t>
        </w:r>
      </w:hyperlink>
    </w:p>
    <w:bookmarkEnd w:id="74"/>
    <w:bookmarkStart w:id="76" w:name="ref-mcwilliams2020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McWilliams JM, Hatfield LA, Landon BE, Chernew ME. Savings or Selection? Initial Spending Reductions in the Medicare Shared Savings Program and Considerations for Reform.</w:t>
      </w:r>
      <w:r>
        <w:t xml:space="preserve"> </w:t>
      </w:r>
      <w:r>
        <w:rPr>
          <w:i/>
          <w:iCs/>
        </w:rPr>
        <w:t xml:space="preserve">The Milbank Quarterly</w:t>
      </w:r>
      <w:r>
        <w:t xml:space="preserve">. 2020;98(3):847-907. doi:</w:t>
      </w:r>
      <w:hyperlink r:id="rId75">
        <w:r>
          <w:rPr>
            <w:rStyle w:val="Hyperlink"/>
          </w:rPr>
          <w:t xml:space="preserve">10.1111/1468-0009.12468</w:t>
        </w:r>
      </w:hyperlink>
    </w:p>
    <w:bookmarkEnd w:id="76"/>
    <w:bookmarkStart w:id="78" w:name="ref-markovitz2019exit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Markovitz AA, Hollingsworth JM, Ayanian JZ, Norton EC, Yan PL, Ryan AM. Performance in the Medicare Shared Savings Program After Accounting for Nonrandom Exit: An Instrumental Variable Analysis.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. 2019;171(1):27-36. doi:</w:t>
      </w:r>
      <w:hyperlink r:id="rId77">
        <w:r>
          <w:rPr>
            <w:rStyle w:val="Hyperlink"/>
          </w:rPr>
          <w:t xml:space="preserve">10.7326/m18-2539</w:t>
        </w:r>
      </w:hyperlink>
    </w:p>
    <w:bookmarkEnd w:id="78"/>
    <w:bookmarkStart w:id="80" w:name="ref-markovitz2019risk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Markovitz AA, Hollingsworth JM, Ayanian JZ, et al. Risk Adjustment In Medicare ACO Program Deters Coding Increases But May Lead ACOs To Drop High-Risk Beneficiaries.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. 2019;38(2):253-261. doi:</w:t>
      </w:r>
      <w:hyperlink r:id="rId79">
        <w:r>
          <w:rPr>
            <w:rStyle w:val="Hyperlink"/>
          </w:rPr>
          <w:t xml:space="preserve">10.1377/hlthaff.2018.05407</w:t>
        </w:r>
      </w:hyperlink>
    </w:p>
    <w:bookmarkEnd w:id="80"/>
    <w:bookmarkStart w:id="82" w:name="ref-douven2015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Douven R, McGuire TG, McWilliams JM. Avoiding Unintended Incentives In ACO Payment Models.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. 2015;34(1):143-149. doi:</w:t>
      </w:r>
      <w:hyperlink r:id="rId81">
        <w:r>
          <w:rPr>
            <w:rStyle w:val="Hyperlink"/>
          </w:rPr>
          <w:t xml:space="preserve">10.1377/hlthaff.2014.0444</w:t>
        </w:r>
      </w:hyperlink>
    </w:p>
    <w:bookmarkEnd w:id="82"/>
    <w:bookmarkStart w:id="84" w:name="ref-weitzman1980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Weitzman ML. The</w:t>
      </w:r>
      <w:r>
        <w:t xml:space="preserve"> </w:t>
      </w:r>
      <w:r>
        <w:t xml:space="preserve">“Ratchet Principle”</w:t>
      </w:r>
      <w:r>
        <w:t xml:space="preserve"> </w:t>
      </w:r>
      <w:r>
        <w:t xml:space="preserve">and Performance Incentives.</w:t>
      </w:r>
      <w:r>
        <w:t xml:space="preserve"> </w:t>
      </w:r>
      <w:r>
        <w:rPr>
          <w:i/>
          <w:iCs/>
        </w:rPr>
        <w:t xml:space="preserve">The Bell Journal of Economics</w:t>
      </w:r>
      <w:r>
        <w:t xml:space="preserve">. 1980;11(1):302. doi:</w:t>
      </w:r>
      <w:hyperlink r:id="rId83">
        <w:r>
          <w:rPr>
            <w:rStyle w:val="Hyperlink"/>
          </w:rPr>
          <w:t xml:space="preserve">10.2307/3003414</w:t>
        </w:r>
      </w:hyperlink>
    </w:p>
    <w:bookmarkEnd w:id="84"/>
    <w:bookmarkStart w:id="86" w:name="ref-cappello2026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Cappello A.</w:t>
      </w:r>
      <w:r>
        <w:t xml:space="preserve"> </w:t>
      </w:r>
      <w:r>
        <w:rPr>
          <w:i/>
          <w:iCs/>
        </w:rPr>
        <w:t xml:space="preserve">Essays in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</w:t>
      </w:r>
      <w:r>
        <w:rPr>
          <w:i/>
          <w:iCs/>
        </w:rPr>
        <w:t xml:space="preserve"> </w:t>
      </w:r>
      <w:r>
        <w:rPr>
          <w:i/>
          <w:iCs/>
        </w:rPr>
        <w:t xml:space="preserve">Organization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</w:t>
      </w:r>
      <w:r>
        <w:t xml:space="preserve">. PhD dissertation. Boston College; 2026.</w:t>
      </w:r>
      <w:r>
        <w:t xml:space="preserve"> </w:t>
      </w:r>
      <w:hyperlink r:id="rId85">
        <w:r>
          <w:rPr>
            <w:rStyle w:val="Hyperlink"/>
          </w:rPr>
          <w:t xml:space="preserve">https://www.proquest.com/openview/92b6e8f86c7ba39e2ba879d91063898b/1</w:t>
        </w:r>
      </w:hyperlink>
    </w:p>
    <w:bookmarkEnd w:id="86"/>
    <w:bookmarkStart w:id="88" w:name="ref-rose2016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Rose S, Zaslavsky AM, McWilliams JM. Variation In Accountable Care Organization Spending And Sensitivity To Risk Adjustment: Implications For Benchmarking.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. 2016;35(3):440-448. doi:</w:t>
      </w:r>
      <w:hyperlink r:id="rId87">
        <w:r>
          <w:rPr>
            <w:rStyle w:val="Hyperlink"/>
          </w:rPr>
          <w:t xml:space="preserve">10.1377/hlthaff.2015.1026</w:t>
        </w:r>
      </w:hyperlink>
    </w:p>
    <w:bookmarkEnd w:id="88"/>
    <w:bookmarkStart w:id="90" w:name="ref-lyu2023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Lyu PF, Chernew ME, McWilliams JM. Benchmarking Changes And Selective Participation In The Medicare Shared Savings Program.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. 2023;42(5):622-631. doi:</w:t>
      </w:r>
      <w:hyperlink r:id="rId89">
        <w:r>
          <w:rPr>
            <w:rStyle w:val="Hyperlink"/>
          </w:rPr>
          <w:t xml:space="preserve">10.1377/hlthaff.2022.01061</w:t>
        </w:r>
      </w:hyperlink>
    </w:p>
    <w:bookmarkEnd w:id="90"/>
    <w:bookmarkStart w:id="92" w:name="ref-chen2025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Chen AJ, McWilliams JM. How Benchmark Changes Affect Participation in Accountable Care Organizations: Prospects for Voluntary Payment Models.</w:t>
      </w:r>
      <w:r>
        <w:t xml:space="preserve"> </w:t>
      </w:r>
      <w:r>
        <w:rPr>
          <w:i/>
          <w:iCs/>
        </w:rPr>
        <w:t xml:space="preserve">American Journal of Health Economics</w:t>
      </w:r>
      <w:r>
        <w:t xml:space="preserve">. 2025;11(1):38-62. doi:</w:t>
      </w:r>
      <w:hyperlink r:id="rId91">
        <w:r>
          <w:rPr>
            <w:rStyle w:val="Hyperlink"/>
          </w:rPr>
          <w:t xml:space="preserve">10.1086/726748</w:t>
        </w:r>
      </w:hyperlink>
    </w:p>
    <w:bookmarkEnd w:id="92"/>
    <w:bookmarkStart w:id="94" w:name="ref-srivastava2026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Srivastava A, Shay A, Kaufman SR, et al. Accountable Care Organization Efficiency on Entry and Shared Savings Bonuses.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. 2026;9(2):e260166. doi:</w:t>
      </w:r>
      <w:hyperlink r:id="rId93">
        <w:r>
          <w:rPr>
            <w:rStyle w:val="Hyperlink"/>
          </w:rPr>
          <w:t xml:space="preserve">10.1001/jamanetworkopen.2026.0166</w:t>
        </w:r>
      </w:hyperlink>
    </w:p>
    <w:bookmarkEnd w:id="94"/>
    <w:bookmarkStart w:id="96" w:name="ref-bleser2019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Bleser WK, Saunders RS, Muhlestein DB, McClellan M. Why Do Accountable Care Organizations Leave The Medicare Shared Savings Program?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. 2019;38(5):794-803. doi:</w:t>
      </w:r>
      <w:hyperlink r:id="rId95">
        <w:r>
          <w:rPr>
            <w:rStyle w:val="Hyperlink"/>
          </w:rPr>
          <w:t xml:space="preserve">10.1377/hlthaff.2018.05097</w:t>
        </w:r>
      </w:hyperlink>
    </w:p>
    <w:bookmarkEnd w:id="96"/>
    <w:bookmarkStart w:id="98" w:name="ref-zhu2023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Zhu X, Huang H, MacKinney AC, Ullrich F, Mueller K. Medicare accountable care organization characteristics associated with participation in 2‐sided risk.</w:t>
      </w:r>
      <w:r>
        <w:t xml:space="preserve"> </w:t>
      </w:r>
      <w:r>
        <w:rPr>
          <w:i/>
          <w:iCs/>
        </w:rPr>
        <w:t xml:space="preserve">The Journal of Rural Health</w:t>
      </w:r>
      <w:r>
        <w:t xml:space="preserve">. 2023;39(1):302-308. doi:</w:t>
      </w:r>
      <w:hyperlink r:id="rId97">
        <w:r>
          <w:rPr>
            <w:rStyle w:val="Hyperlink"/>
          </w:rPr>
          <w:t xml:space="preserve">10.1111/jrh.12672</w:t>
        </w:r>
      </w:hyperlink>
    </w:p>
    <w:bookmarkEnd w:id="98"/>
    <w:bookmarkStart w:id="100" w:name="ref-ying2023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Ying M, Hirth RA, Yan P, et al. Changes in Shared Savings Program Participation After Launch of Pathways to Success.</w:t>
      </w:r>
      <w:r>
        <w:t xml:space="preserve"> </w:t>
      </w:r>
      <w:r>
        <w:rPr>
          <w:i/>
          <w:iCs/>
        </w:rPr>
        <w:t xml:space="preserve">Journal of General Internal Medicine</w:t>
      </w:r>
      <w:r>
        <w:t xml:space="preserve">. 2023;38(7):1780-1782. doi:</w:t>
      </w:r>
      <w:hyperlink r:id="rId99">
        <w:r>
          <w:rPr>
            <w:rStyle w:val="Hyperlink"/>
          </w:rPr>
          <w:t xml:space="preserve">10.1007/s11606-022-07947-x</w:t>
        </w:r>
      </w:hyperlink>
    </w:p>
    <w:bookmarkEnd w:id="100"/>
    <w:bookmarkStart w:id="102" w:name="ref-ying2024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Ying M, Forman JH, Murali S, et al. Factors affecting Accountable Care Organizations’ decisions to remain in or exit the Medicare Shared Savings Program following Pathways to Success.</w:t>
      </w:r>
      <w:r>
        <w:t xml:space="preserve"> </w:t>
      </w:r>
      <w:r>
        <w:rPr>
          <w:i/>
          <w:iCs/>
        </w:rPr>
        <w:t xml:space="preserve">Health Affairs Scholar</w:t>
      </w:r>
      <w:r>
        <w:t xml:space="preserve">. 2024;2(1):qxad093. doi:</w:t>
      </w:r>
      <w:hyperlink r:id="rId101">
        <w:r>
          <w:rPr>
            <w:rStyle w:val="Hyperlink"/>
          </w:rPr>
          <w:t xml:space="preserve">10.1093/haschl/qxad093</w:t>
        </w:r>
      </w:hyperlink>
    </w:p>
    <w:bookmarkEnd w:id="102"/>
    <w:bookmarkStart w:id="104" w:name="ref-moloci2021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Moloci NM, Si Y, Norton EC, Ryan AM, Hollingsworth JM. Predicting Losses from Medicare Shared Savings Program Departures.</w:t>
      </w:r>
      <w:r>
        <w:t xml:space="preserve"> </w:t>
      </w:r>
      <w:r>
        <w:rPr>
          <w:i/>
          <w:iCs/>
        </w:rPr>
        <w:t xml:space="preserve">Journal of General Internal Medicine</w:t>
      </w:r>
      <w:r>
        <w:t xml:space="preserve">. 2021;36(8):2490-2491. doi:</w:t>
      </w:r>
      <w:hyperlink r:id="rId103">
        <w:r>
          <w:rPr>
            <w:rStyle w:val="Hyperlink"/>
          </w:rPr>
          <w:t xml:space="preserve">10.1007/s11606-020-06424-7</w:t>
        </w:r>
      </w:hyperlink>
    </w:p>
    <w:bookmarkEnd w:id="104"/>
    <w:bookmarkStart w:id="106" w:name="ref-trombley2022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Trombley MJ, McWilliams JM, Fout B, Morefield B. ACO Investment Model Produced Savings, But The Majority Of Participants Exited When Faced With Downside Risk.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. 2022;41(1):138-146. doi:</w:t>
      </w:r>
      <w:hyperlink r:id="rId105">
        <w:r>
          <w:rPr>
            <w:rStyle w:val="Hyperlink"/>
          </w:rPr>
          <w:t xml:space="preserve">10.1377/hlthaff.2020.01819</w:t>
        </w:r>
      </w:hyperlink>
    </w:p>
    <w:bookmarkEnd w:id="106"/>
    <w:bookmarkStart w:id="108" w:name="ref-frpathways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Centers for Medicare &amp; Medicaid Services. Medicare program;</w:t>
      </w:r>
      <w:r>
        <w:t xml:space="preserve"> </w:t>
      </w:r>
      <w:r>
        <w:t xml:space="preserve">Medicare</w:t>
      </w:r>
      <w:r>
        <w:t xml:space="preserve"> </w:t>
      </w:r>
      <w:r>
        <w:t xml:space="preserve">Shared</w:t>
      </w:r>
      <w:r>
        <w:t xml:space="preserve"> </w:t>
      </w:r>
      <w:r>
        <w:t xml:space="preserve">Savings</w:t>
      </w:r>
      <w:r>
        <w:t xml:space="preserve"> </w:t>
      </w:r>
      <w:r>
        <w:t xml:space="preserve">Program</w:t>
      </w:r>
      <w:r>
        <w:t xml:space="preserve">; accountable care organizations:</w:t>
      </w:r>
      <w:r>
        <w:t xml:space="preserve"> </w:t>
      </w:r>
      <w:r>
        <w:t xml:space="preserve">Pathways</w:t>
      </w:r>
      <w:r>
        <w:t xml:space="preserve"> </w:t>
      </w:r>
      <w:r>
        <w:t xml:space="preserve">to</w:t>
      </w:r>
      <w:r>
        <w:t xml:space="preserve"> </w:t>
      </w:r>
      <w:r>
        <w:t xml:space="preserve">Success</w:t>
      </w:r>
      <w:r>
        <w:t xml:space="preserve"> </w:t>
      </w:r>
      <w:r>
        <w:t xml:space="preserve">and extreme and uncontrollable circumstances policies for performance year 2017.</w:t>
      </w:r>
      <w:r>
        <w:t xml:space="preserve"> </w:t>
      </w:r>
      <w:r>
        <w:t xml:space="preserve">Final</w:t>
      </w:r>
      <w:r>
        <w:t xml:space="preserve"> </w:t>
      </w:r>
      <w:r>
        <w:t xml:space="preserve">rule. Published online 2018.</w:t>
      </w:r>
      <w:r>
        <w:t xml:space="preserve"> </w:t>
      </w:r>
      <w:hyperlink r:id="rId107">
        <w:r>
          <w:rPr>
            <w:rStyle w:val="Hyperlink"/>
          </w:rPr>
          <w:t xml:space="preserve">https://www.federalregister.gov/documents/2018/12/31/2018-27981/medicare-program-medicare-shared-savings-program-accountable-care-organizations-pathways-to-success</w:t>
        </w:r>
      </w:hyperlink>
    </w:p>
    <w:bookmarkEnd w:id="108"/>
    <w:bookmarkStart w:id="110" w:name="ref-dataacos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Centers for Medicare &amp; Medicaid Services. Accountable care organizations:</w:t>
      </w:r>
      <w:r>
        <w:t xml:space="preserve"> </w:t>
      </w:r>
      <w:r>
        <w:t xml:space="preserve">Shared</w:t>
      </w:r>
      <w:r>
        <w:t xml:space="preserve"> </w:t>
      </w:r>
      <w:r>
        <w:t xml:space="preserve">Savings</w:t>
      </w:r>
      <w:r>
        <w:t xml:space="preserve"> </w:t>
      </w:r>
      <w:r>
        <w:t xml:space="preserve">Program</w:t>
      </w:r>
      <w:r>
        <w:t xml:space="preserve"> </w:t>
      </w:r>
      <w:r>
        <w:t xml:space="preserve">enrollment, performance years 2014-2026. Published online 2026. Accessed October 22, 2026.</w:t>
      </w:r>
      <w:r>
        <w:t xml:space="preserve"> </w:t>
      </w:r>
      <w:hyperlink r:id="rId109">
        <w:r>
          <w:rPr>
            <w:rStyle w:val="Hyperlink"/>
          </w:rPr>
          <w:t xml:space="preserve">https://data.cms.gov/medicare-shared-savings-program/accountable-care-organizations</w:t>
        </w:r>
      </w:hyperlink>
    </w:p>
    <w:bookmarkEnd w:id="110"/>
    <w:bookmarkStart w:id="112" w:name="ref-milliman2024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Smith M, Jensen B, Anderson J, Lockett K.</w:t>
      </w:r>
      <w:r>
        <w:t xml:space="preserve"> </w:t>
      </w:r>
      <w:r>
        <w:rPr>
          <w:i/>
          <w:iCs/>
        </w:rPr>
        <w:t xml:space="preserve">Medicare</w:t>
      </w:r>
      <w:r>
        <w:rPr>
          <w:i/>
          <w:iCs/>
        </w:rPr>
        <w:t xml:space="preserve"> </w:t>
      </w:r>
      <w:r>
        <w:rPr>
          <w:i/>
          <w:iCs/>
        </w:rPr>
        <w:t xml:space="preserve">Shared</w:t>
      </w:r>
      <w:r>
        <w:rPr>
          <w:i/>
          <w:iCs/>
        </w:rP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Program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ACO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Results for 2022</w:t>
      </w:r>
      <w:r>
        <w:t xml:space="preserve">. Milliman; 2024.</w:t>
      </w:r>
      <w:r>
        <w:t xml:space="preserve"> </w:t>
      </w:r>
      <w:hyperlink r:id="rId111">
        <w:r>
          <w:rPr>
            <w:rStyle w:val="Hyperlink"/>
          </w:rPr>
          <w:t xml:space="preserve">https://www.milliman.com/-/media/milliman/pdfs/2024-articles/4-2-24_medicare_shared_savings_program_aco_financial_results_for_2022.ashx</w:t>
        </w:r>
      </w:hyperlink>
    </w:p>
    <w:bookmarkEnd w:id="112"/>
    <w:bookmarkStart w:id="114" w:name="ref-milliman2025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Milliman.</w:t>
      </w:r>
      <w:r>
        <w:t xml:space="preserve"> </w:t>
      </w:r>
      <w:r>
        <w:rPr>
          <w:i/>
          <w:iCs/>
        </w:rPr>
        <w:t xml:space="preserve">Annual Renewal Considerations in the</w:t>
      </w:r>
      <w:r>
        <w:rPr>
          <w:i/>
          <w:iCs/>
        </w:rPr>
        <w:t xml:space="preserve"> </w:t>
      </w:r>
      <w:r>
        <w:rPr>
          <w:i/>
          <w:iCs/>
        </w:rPr>
        <w:t xml:space="preserve">Medicare</w:t>
      </w:r>
      <w:r>
        <w:rPr>
          <w:i/>
          <w:iCs/>
        </w:rPr>
        <w:t xml:space="preserve"> </w:t>
      </w:r>
      <w:r>
        <w:rPr>
          <w:i/>
          <w:iCs/>
        </w:rPr>
        <w:t xml:space="preserve">Shared</w:t>
      </w:r>
      <w:r>
        <w:rPr>
          <w:i/>
          <w:iCs/>
        </w:rP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Program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MSSP</w:t>
      </w:r>
      <w:r>
        <w:rPr>
          <w:i/>
          <w:iCs/>
        </w:rPr>
        <w:t xml:space="preserve">)</w:t>
      </w:r>
      <w:r>
        <w:t xml:space="preserve">. Milliman; 2025.</w:t>
      </w:r>
      <w:r>
        <w:t xml:space="preserve"> </w:t>
      </w:r>
      <w:hyperlink r:id="rId113">
        <w:r>
          <w:rPr>
            <w:rStyle w:val="Hyperlink"/>
          </w:rPr>
          <w:t xml:space="preserve">https://edge.sitecorecloud.io/millimaninc5660-milliman6442-prod27d5-0001/media/Milliman/PDFs/2025-Articles/4-7-25_MSSP-annual-renewal-considerations.pdf</w:t>
        </w:r>
      </w:hyperlink>
    </w:p>
    <w:bookmarkEnd w:id="114"/>
    <w:bookmarkStart w:id="115" w:name="ref-registration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Harrold ST. Why did</w:t>
      </w:r>
      <w:r>
        <w:t xml:space="preserve"> </w:t>
      </w:r>
      <w:r>
        <w:t xml:space="preserve">Medicare</w:t>
      </w:r>
      <w:r>
        <w:t xml:space="preserve"> </w:t>
      </w:r>
      <w:r>
        <w:t xml:space="preserve">ACOs</w:t>
      </w:r>
      <w:r>
        <w:t xml:space="preserve"> </w:t>
      </w:r>
      <w:r>
        <w:t xml:space="preserve">reset their benchmarks early?</w:t>
      </w:r>
      <w:r>
        <w:t xml:space="preserve"> </w:t>
      </w:r>
      <w:r>
        <w:t xml:space="preserve">A</w:t>
      </w:r>
      <w:r>
        <w:t xml:space="preserve"> </w:t>
      </w:r>
      <w:r>
        <w:t xml:space="preserve">pre-registered analysis of early renewal in the</w:t>
      </w:r>
      <w:r>
        <w:t xml:space="preserve"> </w:t>
      </w:r>
      <w:r>
        <w:t xml:space="preserve">Medicare</w:t>
      </w:r>
      <w:r>
        <w:t xml:space="preserve"> </w:t>
      </w:r>
      <w:r>
        <w:t xml:space="preserve">Shared</w:t>
      </w:r>
      <w:r>
        <w:t xml:space="preserve"> </w:t>
      </w:r>
      <w:r>
        <w:t xml:space="preserve">Savings</w:t>
      </w:r>
      <w:r>
        <w:t xml:space="preserve"> </w:t>
      </w:r>
      <w:r>
        <w:t xml:space="preserve">Program</w:t>
      </w:r>
      <w:r>
        <w:t xml:space="preserve">. Published online 2026. doi:</w:t>
      </w:r>
      <w:hyperlink r:id="rId11">
        <w:r>
          <w:rPr>
            <w:rStyle w:val="Hyperlink"/>
          </w:rPr>
          <w:t xml:space="preserve">10.17605/OSF.IO/C53W9</w:t>
        </w:r>
      </w:hyperlink>
    </w:p>
    <w:bookmarkEnd w:id="115"/>
    <w:bookmarkStart w:id="117" w:name="ref-vonelm2007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von Elm E, Altman DG, Egger M, et al. The Strengthening the Reporting of Observational Studies in Epidemiology (STROBE) Statement: Guidelines for Reporting Observational Studies.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. 2007;4(10):e296. doi:</w:t>
      </w:r>
      <w:hyperlink r:id="rId116">
        <w:r>
          <w:rPr>
            <w:rStyle w:val="Hyperlink"/>
          </w:rPr>
          <w:t xml:space="preserve">10.1371/journal.pmed.0040296</w:t>
        </w:r>
      </w:hyperlink>
    </w:p>
    <w:bookmarkEnd w:id="117"/>
    <w:bookmarkStart w:id="119" w:name="ref-code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Harrold ST. Registered analysis code for the</w:t>
      </w:r>
      <w:r>
        <w:t xml:space="preserve"> </w:t>
      </w:r>
      <w:r>
        <w:t xml:space="preserve">MSSP</w:t>
      </w:r>
      <w:r>
        <w:t xml:space="preserve"> </w:t>
      </w:r>
      <w:r>
        <w:t xml:space="preserve">early-renewal study (</w:t>
      </w:r>
      <w:r>
        <w:t xml:space="preserve">analysis/mssp-benchmark-ratchet</w:t>
      </w:r>
      <w:r>
        <w:t xml:space="preserve">), commit a4064f5. Published online 2026.</w:t>
      </w:r>
      <w:r>
        <w:t xml:space="preserve"> </w:t>
      </w:r>
      <w:hyperlink r:id="rId118">
        <w:r>
          <w:rPr>
            <w:rStyle w:val="Hyperlink"/>
          </w:rPr>
          <w:t xml:space="preserve">https://github.com/stharrold/stharrold.github.io/tree/a4064f592a492d971ce3c27e95afb3050e6bc01d/analysis/mssp-benchmark-ratchet</w:t>
        </w:r>
      </w:hyperlink>
    </w:p>
    <w:bookmarkEnd w:id="119"/>
    <w:bookmarkStart w:id="121" w:name="ref-dataresults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Centers for Medicare &amp; Medicaid Services. Performance year financial and quality results, performance years 2013-2024. Published online 2026. Accessed October 22, 2026.</w:t>
      </w:r>
      <w:r>
        <w:t xml:space="preserve"> </w:t>
      </w:r>
      <w:hyperlink r:id="rId120">
        <w:r>
          <w:rPr>
            <w:rStyle w:val="Hyperlink"/>
          </w:rPr>
          <w:t xml:space="preserve">https://data.cms.gov/medicare-shared-savings-program/performance-year-financial-and-quality-results</w:t>
        </w:r>
      </w:hyperlink>
    </w:p>
    <w:bookmarkEnd w:id="121"/>
    <w:bookmarkStart w:id="123" w:name="ref-datacounty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Centers for Medicare &amp; Medicaid Services. County-level aggregate expenditure and risk score data on assignable beneficiaries. Published online 2026. Accessed October 22, 2026.</w:t>
      </w:r>
      <w:r>
        <w:t xml:space="preserve"> </w:t>
      </w:r>
      <w:hyperlink r:id="rId122">
        <w:r>
          <w:rPr>
            <w:rStyle w:val="Hyperlink"/>
          </w:rPr>
          <w:t xml:space="preserve">https://data.cms.gov/medicare-shared-savings-program/county-level-aggregate-expenditure-and-risk-score-data-on-assignable-beneficiaries</w:t>
        </w:r>
      </w:hyperlink>
    </w:p>
    <w:bookmarkEnd w:id="123"/>
    <w:bookmarkStart w:id="125" w:name="ref-dataassigned"/>
    <w:p>
      <w:pPr>
        <w:pStyle w:val="Bibliography"/>
      </w:pPr>
      <w:r>
        <w:t xml:space="preserve">32.</w:t>
      </w:r>
      <w:r>
        <w:t xml:space="preserve"> </w:t>
      </w:r>
      <w:r>
        <w:t xml:space="preserve">	</w:t>
      </w:r>
      <w:r>
        <w:t xml:space="preserve">Centers for Medicare &amp; Medicaid Services. Number of accountable care organization assigned beneficiaries by county. Published online 2026. Accessed October 22, 2026.</w:t>
      </w:r>
      <w:r>
        <w:t xml:space="preserve"> </w:t>
      </w:r>
      <w:hyperlink r:id="rId124">
        <w:r>
          <w:rPr>
            <w:rStyle w:val="Hyperlink"/>
          </w:rPr>
          <w:t xml:space="preserve">https://data.cms.gov/medicare-shared-savings-program/number-of-accountable-care-organization-assigned-beneficiaries-by-county</w:t>
        </w:r>
      </w:hyperlink>
    </w:p>
    <w:bookmarkEnd w:id="125"/>
    <w:bookmarkStart w:id="127" w:name="ref-osfproject"/>
    <w:p>
      <w:pPr>
        <w:pStyle w:val="Bibliography"/>
      </w:pPr>
      <w:r>
        <w:t xml:space="preserve">33.</w:t>
      </w:r>
      <w:r>
        <w:t xml:space="preserve"> </w:t>
      </w:r>
      <w:r>
        <w:t xml:space="preserve">	</w:t>
      </w:r>
      <w:r>
        <w:t xml:space="preserve">Harrold ST. Why did</w:t>
      </w:r>
      <w:r>
        <w:t xml:space="preserve"> </w:t>
      </w:r>
      <w:r>
        <w:t xml:space="preserve">Medicare</w:t>
      </w:r>
      <w:r>
        <w:t xml:space="preserve"> </w:t>
      </w:r>
      <w:r>
        <w:t xml:space="preserve">ACOs</w:t>
      </w:r>
      <w:r>
        <w:t xml:space="preserve"> </w:t>
      </w:r>
      <w:r>
        <w:t xml:space="preserve">reset their benchmarks early?</w:t>
      </w:r>
      <w:r>
        <w:t xml:space="preserve"> </w:t>
      </w:r>
      <w:r>
        <w:t xml:space="preserve">Project</w:t>
      </w:r>
      <w:r>
        <w:t xml:space="preserve"> </w:t>
      </w:r>
      <w:r>
        <w:t xml:space="preserve">files: Results notebook exports and archived</w:t>
      </w:r>
      <w:r>
        <w:t xml:space="preserve"> </w:t>
      </w:r>
      <w:r>
        <w:t xml:space="preserve">CMS</w:t>
      </w:r>
      <w:r>
        <w:t xml:space="preserve"> </w:t>
      </w:r>
      <w:r>
        <w:t xml:space="preserve">data snapshot. Published online 2026. doi:</w:t>
      </w:r>
      <w:hyperlink r:id="rId126">
        <w:r>
          <w:rPr>
            <w:rStyle w:val="Hyperlink"/>
          </w:rPr>
          <w:t xml:space="preserve">10.17605/OSF.IO/Z4AN5</w:t>
        </w:r>
      </w:hyperlink>
    </w:p>
    <w:bookmarkEnd w:id="127"/>
    <w:bookmarkStart w:id="129" w:name="ref-suppression"/>
    <w:p>
      <w:pPr>
        <w:pStyle w:val="Bibliography"/>
      </w:pPr>
      <w:r>
        <w:t xml:space="preserve">34.</w:t>
      </w:r>
      <w:r>
        <w:t xml:space="preserve"> </w:t>
      </w:r>
      <w:r>
        <w:t xml:space="preserve">	</w:t>
      </w:r>
      <w:r>
        <w:t xml:space="preserve">Centers for Medicare &amp; Medicaid Services.</w:t>
      </w:r>
      <w:r>
        <w:t xml:space="preserve"> </w:t>
      </w:r>
      <w:r>
        <w:t xml:space="preserve">CMS</w:t>
      </w:r>
      <w:r>
        <w:t xml:space="preserve"> </w:t>
      </w:r>
      <w:r>
        <w:t xml:space="preserve">cell suppression policy. Published online 2020.</w:t>
      </w:r>
      <w:r>
        <w:t xml:space="preserve"> </w:t>
      </w:r>
      <w:hyperlink r:id="rId128">
        <w:r>
          <w:rPr>
            <w:rStyle w:val="Hyperlink"/>
          </w:rPr>
          <w:t xml:space="preserve">https://web.archive.org/web/20250516214605/https://www.hhs.gov/guidance/document/cms-cell-suppression-policy</w:t>
        </w:r>
      </w:hyperlink>
    </w:p>
    <w:bookmarkEnd w:id="129"/>
    <w:bookmarkStart w:id="131" w:name="ref-specv10"/>
    <w:p>
      <w:pPr>
        <w:pStyle w:val="Bibliography"/>
      </w:pPr>
      <w:r>
        <w:t xml:space="preserve">35.</w:t>
      </w:r>
      <w:r>
        <w:t xml:space="preserve"> </w:t>
      </w:r>
      <w:r>
        <w:t xml:space="preserve">	</w:t>
      </w:r>
      <w:r>
        <w:t xml:space="preserve">Centers for Medicare &amp; Medicaid Services. Medicare</w:t>
      </w:r>
      <w:r>
        <w:t xml:space="preserve"> </w:t>
      </w:r>
      <w:r>
        <w:t xml:space="preserve">Shared</w:t>
      </w:r>
      <w:r>
        <w:t xml:space="preserve"> </w:t>
      </w:r>
      <w:r>
        <w:t xml:space="preserve">Savings</w:t>
      </w:r>
      <w:r>
        <w:t xml:space="preserve"> </w:t>
      </w:r>
      <w:r>
        <w:t xml:space="preserve">Program</w:t>
      </w:r>
      <w:r>
        <w:t xml:space="preserve">: Shared savings and losses and assignment methodology specifications, version 10. Published online 2022.</w:t>
      </w:r>
      <w:r>
        <w:t xml:space="preserve"> </w:t>
      </w:r>
      <w:hyperlink r:id="rId130">
        <w:r>
          <w:rPr>
            <w:rStyle w:val="Hyperlink"/>
          </w:rPr>
          <w:t xml:space="preserve">https://www.cms.gov/files/document/medicare-shared-savings-program-shared-savings-and-losses-and-assignment-methodology-specifications.pdf-1</w:t>
        </w:r>
      </w:hyperlink>
    </w:p>
    <w:bookmarkEnd w:id="131"/>
    <w:bookmarkStart w:id="133" w:name="ref-cfr425600"/>
    <w:p>
      <w:pPr>
        <w:pStyle w:val="Bibliography"/>
      </w:pPr>
      <w:r>
        <w:t xml:space="preserve">36.</w:t>
      </w:r>
      <w:r>
        <w:t xml:space="preserve"> </w:t>
      </w:r>
      <w:r>
        <w:t xml:space="preserve">	</w:t>
      </w:r>
      <w:r>
        <w:t xml:space="preserve">Centers for Medicare &amp; Medicaid Services. 42</w:t>
      </w:r>
      <w:r>
        <w:t xml:space="preserve"> </w:t>
      </w:r>
      <w:r>
        <w:t xml:space="preserve">CFR</w:t>
      </w:r>
      <w:r>
        <w:t xml:space="preserve"> </w:t>
      </w:r>
      <w:r>
        <w:t xml:space="preserve">425.600:</w:t>
      </w:r>
      <w:r>
        <w:t xml:space="preserve"> </w:t>
      </w:r>
      <w:r>
        <w:t xml:space="preserve">Selection</w:t>
      </w:r>
      <w:r>
        <w:t xml:space="preserve"> </w:t>
      </w:r>
      <w:r>
        <w:t xml:space="preserve">of risk model. Published online 2022.</w:t>
      </w:r>
      <w:r>
        <w:t xml:space="preserve"> </w:t>
      </w:r>
      <w:hyperlink r:id="rId132">
        <w:r>
          <w:rPr>
            <w:rStyle w:val="Hyperlink"/>
          </w:rPr>
          <w:t xml:space="preserve">https://www.ecfr.gov/on/2022-01-01/title-42/chapter-IV/subchapter-B/part-425/subpart-G/section-425.600#p-425.600%28d%29</w:t>
        </w:r>
      </w:hyperlink>
    </w:p>
    <w:bookmarkEnd w:id="133"/>
    <w:bookmarkStart w:id="135" w:name="ref-rubin1981"/>
    <w:p>
      <w:pPr>
        <w:pStyle w:val="Bibliography"/>
      </w:pPr>
      <w:r>
        <w:t xml:space="preserve">37.</w:t>
      </w:r>
      <w:r>
        <w:t xml:space="preserve"> </w:t>
      </w:r>
      <w:r>
        <w:t xml:space="preserve">	</w:t>
      </w:r>
      <w:r>
        <w:t xml:space="preserve">Rubin DB. The Bayesian Bootstrap.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. 1981;9(1):130-134. doi:</w:t>
      </w:r>
      <w:hyperlink r:id="rId134">
        <w:r>
          <w:rPr>
            <w:rStyle w:val="Hyperlink"/>
          </w:rPr>
          <w:t xml:space="preserve">10.1214/aos/1176345338</w:t>
        </w:r>
      </w:hyperlink>
    </w:p>
    <w:bookmarkEnd w:id="135"/>
    <w:bookmarkStart w:id="137" w:name="ref-phipson2010"/>
    <w:p>
      <w:pPr>
        <w:pStyle w:val="Bibliography"/>
      </w:pPr>
      <w:r>
        <w:t xml:space="preserve">38.</w:t>
      </w:r>
      <w:r>
        <w:t xml:space="preserve"> </w:t>
      </w:r>
      <w:r>
        <w:t xml:space="preserve">	</w:t>
      </w:r>
      <w:r>
        <w:t xml:space="preserve">Phipson B, Smyth GK. Permutation P-values Should Never Be Zero: Calculating Exact P-values When Permutations Are Randomly Drawn.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. 2010;9(1):39. doi:</w:t>
      </w:r>
      <w:hyperlink r:id="rId136">
        <w:r>
          <w:rPr>
            <w:rStyle w:val="Hyperlink"/>
          </w:rPr>
          <w:t xml:space="preserve">10.2202/1544-6115.1585</w:t>
        </w:r>
      </w:hyperlink>
    </w:p>
    <w:bookmarkEnd w:id="137"/>
    <w:bookmarkStart w:id="139" w:name="ref-pymc2023"/>
    <w:p>
      <w:pPr>
        <w:pStyle w:val="Bibliography"/>
      </w:pPr>
      <w:r>
        <w:t xml:space="preserve">39.</w:t>
      </w:r>
      <w:r>
        <w:t xml:space="preserve"> </w:t>
      </w:r>
      <w:r>
        <w:t xml:space="preserve">	</w:t>
      </w:r>
      <w:r>
        <w:t xml:space="preserve">Abril-Pla O, Andreani V, Carroll C, et al. PyMC: a modern, and comprehensive probabilistic programming framework in Python.</w:t>
      </w:r>
      <w:r>
        <w:t xml:space="preserve"> </w:t>
      </w:r>
      <w:r>
        <w:rPr>
          <w:i/>
          <w:iCs/>
        </w:rPr>
        <w:t xml:space="preserve">PeerJ Computer Science</w:t>
      </w:r>
      <w:r>
        <w:t xml:space="preserve">. 2023;9:e1516. doi:</w:t>
      </w:r>
      <w:hyperlink r:id="rId138">
        <w:r>
          <w:rPr>
            <w:rStyle w:val="Hyperlink"/>
          </w:rPr>
          <w:t xml:space="preserve">10.7717/peerj-cs.1516</w:t>
        </w:r>
      </w:hyperlink>
    </w:p>
    <w:bookmarkEnd w:id="139"/>
    <w:bookmarkStart w:id="141" w:name="ref-hoffman2014"/>
    <w:p>
      <w:pPr>
        <w:pStyle w:val="Bibliography"/>
      </w:pPr>
      <w:r>
        <w:t xml:space="preserve">40.</w:t>
      </w:r>
      <w:r>
        <w:t xml:space="preserve"> </w:t>
      </w:r>
      <w:r>
        <w:t xml:space="preserve">	</w:t>
      </w:r>
      <w:r>
        <w:t xml:space="preserve">Hoffman MD, Gelman A. 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. 2014;15:1593-1623.</w:t>
      </w:r>
      <w:r>
        <w:t xml:space="preserve"> </w:t>
      </w:r>
      <w:hyperlink r:id="rId140">
        <w:r>
          <w:rPr>
            <w:rStyle w:val="Hyperlink"/>
          </w:rPr>
          <w:t xml:space="preserve">https://jmlr.org/papers/v15/hoffman14a.html</w:t>
        </w:r>
      </w:hyperlink>
    </w:p>
    <w:bookmarkEnd w:id="141"/>
    <w:bookmarkStart w:id="143" w:name="ref-gelman2008"/>
    <w:p>
      <w:pPr>
        <w:pStyle w:val="Bibliography"/>
      </w:pPr>
      <w:r>
        <w:t xml:space="preserve">41.</w:t>
      </w:r>
      <w:r>
        <w:t xml:space="preserve"> </w:t>
      </w:r>
      <w:r>
        <w:t xml:space="preserve">	</w:t>
      </w:r>
      <w:r>
        <w:t xml:space="preserve">Gelman A. Scaling regression inputs by dividing by two standard deviations.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. 2008;27(15):2865-2873. doi:</w:t>
      </w:r>
      <w:hyperlink r:id="rId142">
        <w:r>
          <w:rPr>
            <w:rStyle w:val="Hyperlink"/>
          </w:rPr>
          <w:t xml:space="preserve">10.1002/sim.3107</w:t>
        </w:r>
      </w:hyperlink>
    </w:p>
    <w:bookmarkEnd w:id="143"/>
    <w:bookmarkStart w:id="145" w:name="ref-vehtari2021"/>
    <w:p>
      <w:pPr>
        <w:pStyle w:val="Bibliography"/>
      </w:pPr>
      <w:r>
        <w:t xml:space="preserve">42.</w:t>
      </w:r>
      <w:r>
        <w:t xml:space="preserve"> </w:t>
      </w:r>
      <w:r>
        <w:t xml:space="preserve">	</w:t>
      </w:r>
      <w:r>
        <w:t xml:space="preserve">Vehtari A, Gelman A, Simpson D, Carpenter B, Bürkner PC. Rank-normalization, folding, and localization: an improved R-hat for assessing convergence of MCMC.</w:t>
      </w:r>
      <w:r>
        <w:t xml:space="preserve"> </w:t>
      </w:r>
      <w:r>
        <w:rPr>
          <w:i/>
          <w:iCs/>
        </w:rPr>
        <w:t xml:space="preserve">Bayesian Analysis</w:t>
      </w:r>
      <w:r>
        <w:t xml:space="preserve">. 2021;16(2):667-718. doi:</w:t>
      </w:r>
      <w:hyperlink r:id="rId144">
        <w:r>
          <w:rPr>
            <w:rStyle w:val="Hyperlink"/>
          </w:rPr>
          <w:t xml:space="preserve">10.1214/20-ba1221</w:t>
        </w:r>
      </w:hyperlink>
    </w:p>
    <w:bookmarkEnd w:id="145"/>
    <w:bookmarkStart w:id="147" w:name="ref-firth1993"/>
    <w:p>
      <w:pPr>
        <w:pStyle w:val="Bibliography"/>
      </w:pPr>
      <w:r>
        <w:t xml:space="preserve">43.</w:t>
      </w:r>
      <w:r>
        <w:t xml:space="preserve"> </w:t>
      </w:r>
      <w:r>
        <w:t xml:space="preserve">	</w:t>
      </w:r>
      <w:r>
        <w:t xml:space="preserve">Firth D. Bias reduction of maximum likelihood estimates.</w:t>
      </w:r>
      <w:r>
        <w:t xml:space="preserve"> </w:t>
      </w:r>
      <w:r>
        <w:rPr>
          <w:i/>
          <w:iCs/>
        </w:rPr>
        <w:t xml:space="preserve">Biometrika</w:t>
      </w:r>
      <w:r>
        <w:t xml:space="preserve">. 1993;80(1):27-38. doi:</w:t>
      </w:r>
      <w:hyperlink r:id="rId146">
        <w:r>
          <w:rPr>
            <w:rStyle w:val="Hyperlink"/>
          </w:rPr>
          <w:t xml:space="preserve">10.1093/biomet/80.1.27</w:t>
        </w:r>
      </w:hyperlink>
    </w:p>
    <w:bookmarkEnd w:id="147"/>
    <w:bookmarkStart w:id="149" w:name="ref-firthmodels"/>
    <w:p>
      <w:pPr>
        <w:pStyle w:val="Bibliography"/>
      </w:pPr>
      <w:r>
        <w:t xml:space="preserve">44.</w:t>
      </w:r>
      <w:r>
        <w:t xml:space="preserve"> </w:t>
      </w:r>
      <w:r>
        <w:t xml:space="preserve">	</w:t>
      </w:r>
      <w:r>
        <w:t xml:space="preserve">Luo J.</w:t>
      </w:r>
      <w:r>
        <w:t xml:space="preserve"> </w:t>
      </w:r>
      <w:r>
        <w:t xml:space="preserve">firthmodels</w:t>
      </w:r>
      <w:r>
        <w:t xml:space="preserve"> </w:t>
      </w:r>
      <w:r>
        <w:t xml:space="preserve">0.8.2:</w:t>
      </w:r>
      <w:r>
        <w:t xml:space="preserve"> </w:t>
      </w:r>
      <w:r>
        <w:t xml:space="preserve">Firth</w:t>
      </w:r>
      <w:r>
        <w:t xml:space="preserve">-penalized models in</w:t>
      </w:r>
      <w:r>
        <w:t xml:space="preserve"> </w:t>
      </w:r>
      <w:r>
        <w:t xml:space="preserve">Python</w:t>
      </w:r>
      <w:r>
        <w:t xml:space="preserve">. Published online 2026.</w:t>
      </w:r>
      <w:r>
        <w:t xml:space="preserve"> </w:t>
      </w:r>
      <w:hyperlink r:id="rId148">
        <w:r>
          <w:rPr>
            <w:rStyle w:val="Hyperlink"/>
          </w:rPr>
          <w:t xml:space="preserve">https://github.com/jzluo/firthmodels</w:t>
        </w:r>
      </w:hyperlink>
    </w:p>
    <w:bookmarkEnd w:id="149"/>
    <w:bookmarkStart w:id="151" w:name="ref-gelmanprior2008"/>
    <w:p>
      <w:pPr>
        <w:pStyle w:val="Bibliography"/>
      </w:pPr>
      <w:r>
        <w:t xml:space="preserve">45.</w:t>
      </w:r>
      <w:r>
        <w:t xml:space="preserve"> </w:t>
      </w:r>
      <w:r>
        <w:t xml:space="preserve">	</w:t>
      </w:r>
      <w:r>
        <w:t xml:space="preserve">Gelman A, Jakulin A, Pittau MG, Su YS. A weakly informative default prior distribution for logistic and other regression models.</w:t>
      </w:r>
      <w:r>
        <w:t xml:space="preserve"> </w:t>
      </w:r>
      <w:r>
        <w:rPr>
          <w:i/>
          <w:iCs/>
        </w:rPr>
        <w:t xml:space="preserve">The Annals of Applied Statistics</w:t>
      </w:r>
      <w:r>
        <w:t xml:space="preserve">. 2008;2(4):1360-1383. doi:</w:t>
      </w:r>
      <w:hyperlink r:id="rId150">
        <w:r>
          <w:rPr>
            <w:rStyle w:val="Hyperlink"/>
          </w:rPr>
          <w:t xml:space="preserve">10.1214/08-aoas191</w:t>
        </w:r>
      </w:hyperlink>
    </w:p>
    <w:bookmarkEnd w:id="151"/>
    <w:bookmarkStart w:id="153" w:name="ref-callaway2021"/>
    <w:p>
      <w:pPr>
        <w:pStyle w:val="Bibliography"/>
      </w:pPr>
      <w:r>
        <w:t xml:space="preserve">46.</w:t>
      </w:r>
      <w:r>
        <w:t xml:space="preserve"> </w:t>
      </w:r>
      <w:r>
        <w:t xml:space="preserve">	</w:t>
      </w:r>
      <w:r>
        <w:t xml:space="preserve">Callaway B, Sant’Anna PHC. Difference-in-Differences with multiple time periods.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. 2021;225(2):200-230. doi:</w:t>
      </w:r>
      <w:hyperlink r:id="rId152">
        <w:r>
          <w:rPr>
            <w:rStyle w:val="Hyperlink"/>
          </w:rPr>
          <w:t xml:space="preserve">10.1016/j.jeconom.2020.12.001</w:t>
        </w:r>
      </w:hyperlink>
    </w:p>
    <w:bookmarkEnd w:id="153"/>
    <w:bookmarkStart w:id="155" w:name="ref-roth2022"/>
    <w:p>
      <w:pPr>
        <w:pStyle w:val="Bibliography"/>
      </w:pPr>
      <w:r>
        <w:t xml:space="preserve">47.</w:t>
      </w:r>
      <w:r>
        <w:t xml:space="preserve"> </w:t>
      </w:r>
      <w:r>
        <w:t xml:space="preserve">	</w:t>
      </w:r>
      <w:r>
        <w:t xml:space="preserve">Roth J. Pretest with Caution: Event-Study Estimates after Testing for Parallel Trends.</w:t>
      </w:r>
      <w:r>
        <w:t xml:space="preserve"> </w:t>
      </w:r>
      <w:r>
        <w:rPr>
          <w:i/>
          <w:iCs/>
        </w:rPr>
        <w:t xml:space="preserve">American Economic Review: Insights</w:t>
      </w:r>
      <w:r>
        <w:t xml:space="preserve">. 2022;4(3):305-322. doi:</w:t>
      </w:r>
      <w:hyperlink r:id="rId154">
        <w:r>
          <w:rPr>
            <w:rStyle w:val="Hyperlink"/>
          </w:rPr>
          <w:t xml:space="preserve">10.1257/aeri.20210236</w:t>
        </w:r>
      </w:hyperlink>
    </w:p>
    <w:bookmarkEnd w:id="155"/>
    <w:bookmarkStart w:id="157" w:name="ref-lakens2017"/>
    <w:p>
      <w:pPr>
        <w:pStyle w:val="Bibliography"/>
      </w:pPr>
      <w:r>
        <w:t xml:space="preserve">48.</w:t>
      </w:r>
      <w:r>
        <w:t xml:space="preserve"> </w:t>
      </w:r>
      <w:r>
        <w:t xml:space="preserve">	</w:t>
      </w:r>
      <w:r>
        <w:t xml:space="preserve">Lakens D. Equivalence tests: a practical primer for t tests, correlations, and meta-analyses.</w:t>
      </w:r>
      <w:r>
        <w:t xml:space="preserve"> </w:t>
      </w:r>
      <w:r>
        <w:rPr>
          <w:i/>
          <w:iCs/>
        </w:rPr>
        <w:t xml:space="preserve">Social Psychological and Personality Science</w:t>
      </w:r>
      <w:r>
        <w:t xml:space="preserve">. 2017;8(4):355-362. doi:</w:t>
      </w:r>
      <w:hyperlink r:id="rId156">
        <w:r>
          <w:rPr>
            <w:rStyle w:val="Hyperlink"/>
          </w:rPr>
          <w:t xml:space="preserve">10.1177/1948550617697177</w:t>
        </w:r>
      </w:hyperlink>
    </w:p>
    <w:bookmarkEnd w:id="157"/>
    <w:bookmarkStart w:id="159" w:name="ref-rambachan2023"/>
    <w:p>
      <w:pPr>
        <w:pStyle w:val="Bibliography"/>
      </w:pPr>
      <w:r>
        <w:t xml:space="preserve">49.</w:t>
      </w:r>
      <w:r>
        <w:t xml:space="preserve"> </w:t>
      </w:r>
      <w:r>
        <w:t xml:space="preserve">	</w:t>
      </w:r>
      <w:r>
        <w:t xml:space="preserve">Rambachan A, Roth J. A More Credible Approach to Parallel Trends.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. 2023;90(5):2555-2591. doi:</w:t>
      </w:r>
      <w:hyperlink r:id="rId158">
        <w:r>
          <w:rPr>
            <w:rStyle w:val="Hyperlink"/>
          </w:rPr>
          <w:t xml:space="preserve">10.1093/restud/rdad018</w:t>
        </w:r>
      </w:hyperlink>
    </w:p>
    <w:bookmarkEnd w:id="159"/>
    <w:bookmarkStart w:id="161" w:name="ref-rosenbaum1983"/>
    <w:p>
      <w:pPr>
        <w:pStyle w:val="Bibliography"/>
      </w:pPr>
      <w:r>
        <w:t xml:space="preserve">50.</w:t>
      </w:r>
      <w:r>
        <w:t xml:space="preserve"> </w:t>
      </w:r>
      <w:r>
        <w:t xml:space="preserve">	</w:t>
      </w:r>
      <w:r>
        <w:t xml:space="preserve">Rosenbaum PR, Rubin DB. The central role of the propensity score in observational studies for causal effects.</w:t>
      </w:r>
      <w:r>
        <w:t xml:space="preserve"> </w:t>
      </w:r>
      <w:r>
        <w:rPr>
          <w:i/>
          <w:iCs/>
        </w:rPr>
        <w:t xml:space="preserve">Biometrika</w:t>
      </w:r>
      <w:r>
        <w:t xml:space="preserve">. 1983;70(1):41-55. doi:</w:t>
      </w:r>
      <w:hyperlink r:id="rId160">
        <w:r>
          <w:rPr>
            <w:rStyle w:val="Hyperlink"/>
          </w:rPr>
          <w:t xml:space="preserve">10.1093/biomet/70.1.41</w:t>
        </w:r>
      </w:hyperlink>
    </w:p>
    <w:bookmarkEnd w:id="161"/>
    <w:bookmarkStart w:id="163" w:name="ref-welch1947"/>
    <w:p>
      <w:pPr>
        <w:pStyle w:val="Bibliography"/>
      </w:pPr>
      <w:r>
        <w:t xml:space="preserve">51.</w:t>
      </w:r>
      <w:r>
        <w:t xml:space="preserve"> </w:t>
      </w:r>
      <w:r>
        <w:t xml:space="preserve">	</w:t>
      </w:r>
      <w:r>
        <w:t xml:space="preserve">Welch BL. The generalization of</w:t>
      </w:r>
      <w:r>
        <w:t xml:space="preserve"> </w:t>
      </w:r>
      <w:r>
        <w:t xml:space="preserve">“Student’s”</w:t>
      </w:r>
      <w:r>
        <w:t xml:space="preserve"> </w:t>
      </w:r>
      <w:r>
        <w:t xml:space="preserve">problem when several different population variances are involved.</w:t>
      </w:r>
      <w:r>
        <w:t xml:space="preserve"> </w:t>
      </w:r>
      <w:r>
        <w:rPr>
          <w:i/>
          <w:iCs/>
        </w:rPr>
        <w:t xml:space="preserve">Biometrika</w:t>
      </w:r>
      <w:r>
        <w:t xml:space="preserve">. 1947;34(1-2):28-35. doi:</w:t>
      </w:r>
      <w:hyperlink r:id="rId162">
        <w:r>
          <w:rPr>
            <w:rStyle w:val="Hyperlink"/>
          </w:rPr>
          <w:t xml:space="preserve">10.1093/biomet/34.1-2.28</w:t>
        </w:r>
      </w:hyperlink>
    </w:p>
    <w:bookmarkEnd w:id="163"/>
    <w:bookmarkStart w:id="165" w:name="ref-mackinnon1985"/>
    <w:p>
      <w:pPr>
        <w:pStyle w:val="Bibliography"/>
      </w:pPr>
      <w:r>
        <w:t xml:space="preserve">52.</w:t>
      </w:r>
      <w:r>
        <w:t xml:space="preserve"> </w:t>
      </w:r>
      <w:r>
        <w:t xml:space="preserve">	</w:t>
      </w:r>
      <w:r>
        <w:t xml:space="preserve">MacKinnon JG, White H. Some heteroskedasticity-consistent covariance matrix estimators with improved finite sample properties.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. 1985;29(3):305-325. doi:</w:t>
      </w:r>
      <w:hyperlink r:id="rId164">
        <w:r>
          <w:rPr>
            <w:rStyle w:val="Hyperlink"/>
          </w:rPr>
          <w:t xml:space="preserve">10.1016/0304-4076(85)90158-7</w:t>
        </w:r>
      </w:hyperlink>
    </w:p>
    <w:bookmarkEnd w:id="165"/>
    <w:bookmarkStart w:id="167" w:name="ref-statsmodels2010"/>
    <w:p>
      <w:pPr>
        <w:pStyle w:val="Bibliography"/>
      </w:pPr>
      <w:r>
        <w:t xml:space="preserve">53.</w:t>
      </w:r>
      <w:r>
        <w:t xml:space="preserve"> </w:t>
      </w:r>
      <w:r>
        <w:t xml:space="preserve">	</w:t>
      </w:r>
      <w:r>
        <w:t xml:space="preserve">Seabold S, Perktold J. Statsmodels: Econometric and Statistical Modeling with Python.</w:t>
      </w:r>
      <w:r>
        <w:t xml:space="preserve"> </w:t>
      </w:r>
      <w:r>
        <w:rPr>
          <w:i/>
          <w:iCs/>
        </w:rPr>
        <w:t xml:space="preserve">Proceedings of the Python in Science Conference</w:t>
      </w:r>
      <w:r>
        <w:t xml:space="preserve">. Published online 2010:92-96. doi:</w:t>
      </w:r>
      <w:hyperlink r:id="rId166">
        <w:r>
          <w:rPr>
            <w:rStyle w:val="Hyperlink"/>
          </w:rPr>
          <w:t xml:space="preserve">10.25080/majora-92bf1922-011</w:t>
        </w:r>
      </w:hyperlink>
    </w:p>
    <w:bookmarkEnd w:id="167"/>
    <w:bookmarkStart w:id="169" w:name="ref-dbt"/>
    <w:p>
      <w:pPr>
        <w:pStyle w:val="Bibliography"/>
      </w:pPr>
      <w:r>
        <w:t xml:space="preserve">54.</w:t>
      </w:r>
      <w:r>
        <w:t xml:space="preserve"> </w:t>
      </w:r>
      <w:r>
        <w:t xml:space="preserve">	</w:t>
      </w:r>
      <w:r>
        <w:t xml:space="preserve">dbt Labs</w:t>
      </w:r>
      <w:r>
        <w:t xml:space="preserve">.</w:t>
      </w:r>
      <w:r>
        <w:t xml:space="preserve"> </w:t>
      </w:r>
      <w:r>
        <w:t xml:space="preserve">dbt-core</w:t>
      </w:r>
      <w:r>
        <w:t xml:space="preserve"> </w:t>
      </w:r>
      <w:r>
        <w:t xml:space="preserve">1.12.6 and</w:t>
      </w:r>
      <w:r>
        <w:t xml:space="preserve"> </w:t>
      </w:r>
      <w:r>
        <w:t xml:space="preserve">dbt-duckdb</w:t>
      </w:r>
      <w:r>
        <w:t xml:space="preserve"> </w:t>
      </w:r>
      <w:r>
        <w:t xml:space="preserve">1.11.0. Published online 2026.</w:t>
      </w:r>
      <w:r>
        <w:t xml:space="preserve"> </w:t>
      </w:r>
      <w:hyperlink r:id="rId168">
        <w:r>
          <w:rPr>
            <w:rStyle w:val="Hyperlink"/>
          </w:rPr>
          <w:t xml:space="preserve">https://github.com/dbt-labs/dbt-core</w:t>
        </w:r>
      </w:hyperlink>
    </w:p>
    <w:bookmarkEnd w:id="169"/>
    <w:bookmarkStart w:id="171" w:name="ref-duckdb2019"/>
    <w:p>
      <w:pPr>
        <w:pStyle w:val="Bibliography"/>
      </w:pPr>
      <w:r>
        <w:t xml:space="preserve">55.</w:t>
      </w:r>
      <w:r>
        <w:t xml:space="preserve"> </w:t>
      </w:r>
      <w:r>
        <w:t xml:space="preserve">	</w:t>
      </w:r>
      <w:r>
        <w:t xml:space="preserve">Raasveldt M, Mühleisen H. DuckDB: an Embeddable Analytical Database.</w:t>
      </w:r>
      <w:r>
        <w:t xml:space="preserve"> </w:t>
      </w:r>
      <w:r>
        <w:rPr>
          <w:i/>
          <w:iCs/>
        </w:rPr>
        <w:t xml:space="preserve">Proceedings of the 2019 International Conference on Management of Data</w:t>
      </w:r>
      <w:r>
        <w:t xml:space="preserve">. Published online June 25, 2019:1981-1984. doi:</w:t>
      </w:r>
      <w:hyperlink r:id="rId170">
        <w:r>
          <w:rPr>
            <w:rStyle w:val="Hyperlink"/>
          </w:rPr>
          <w:t xml:space="preserve">10.1145/3299869.3320212</w:t>
        </w:r>
      </w:hyperlink>
    </w:p>
    <w:bookmarkEnd w:id="171"/>
    <w:bookmarkStart w:id="173" w:name="ref-uv"/>
    <w:p>
      <w:pPr>
        <w:pStyle w:val="Bibliography"/>
      </w:pPr>
      <w:r>
        <w:t xml:space="preserve">56.</w:t>
      </w:r>
      <w:r>
        <w:t xml:space="preserve"> </w:t>
      </w:r>
      <w:r>
        <w:t xml:space="preserve">	</w:t>
      </w:r>
      <w:r>
        <w:t xml:space="preserve">Astral Software.</w:t>
      </w:r>
      <w:r>
        <w:t xml:space="preserve"> </w:t>
      </w:r>
      <w:r>
        <w:t xml:space="preserve">uv</w:t>
      </w:r>
      <w:r>
        <w:t xml:space="preserve">: An extremely fast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and project manager. Published online 2026.</w:t>
      </w:r>
      <w:r>
        <w:t xml:space="preserve"> </w:t>
      </w:r>
      <w:hyperlink r:id="rId172">
        <w:r>
          <w:rPr>
            <w:rStyle w:val="Hyperlink"/>
          </w:rPr>
          <w:t xml:space="preserve">https://github.com/astral-sh/uv</w:t>
        </w:r>
      </w:hyperlink>
    </w:p>
    <w:bookmarkEnd w:id="173"/>
    <w:bookmarkStart w:id="175" w:name="ref-arviz2019"/>
    <w:p>
      <w:pPr>
        <w:pStyle w:val="Bibliography"/>
      </w:pPr>
      <w:r>
        <w:t xml:space="preserve">57.</w:t>
      </w:r>
      <w:r>
        <w:t xml:space="preserve"> </w:t>
      </w:r>
      <w:r>
        <w:t xml:space="preserve">	</w:t>
      </w:r>
      <w:r>
        <w:t xml:space="preserve">Kumar R, Carroll C, Hartikainen A, Martin O. ArviZ a unified library for exploratory analysis of Bayesian models in Python.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. 2019;4(33):1143. doi:</w:t>
      </w:r>
      <w:hyperlink r:id="rId174">
        <w:r>
          <w:rPr>
            <w:rStyle w:val="Hyperlink"/>
          </w:rPr>
          <w:t xml:space="preserve">10.21105/joss.01143</w:t>
        </w:r>
      </w:hyperlink>
    </w:p>
    <w:bookmarkEnd w:id="175"/>
    <w:bookmarkStart w:id="177" w:name="ref-numpy2020"/>
    <w:p>
      <w:pPr>
        <w:pStyle w:val="Bibliography"/>
      </w:pPr>
      <w:r>
        <w:t xml:space="preserve">58.</w:t>
      </w:r>
      <w:r>
        <w:t xml:space="preserve"> </w:t>
      </w:r>
      <w:r>
        <w:t xml:space="preserve">	</w:t>
      </w:r>
      <w:r>
        <w:t xml:space="preserve">Harris CR, Millman KJ, van der Walt SJ, et al. Array programming with NumPy.</w:t>
      </w:r>
      <w:r>
        <w:t xml:space="preserve"> </w:t>
      </w:r>
      <w:r>
        <w:rPr>
          <w:i/>
          <w:iCs/>
        </w:rPr>
        <w:t xml:space="preserve">Nature</w:t>
      </w:r>
      <w:r>
        <w:t xml:space="preserve">. 2020;585(7825):357-362. doi:</w:t>
      </w:r>
      <w:hyperlink r:id="rId176">
        <w:r>
          <w:rPr>
            <w:rStyle w:val="Hyperlink"/>
          </w:rPr>
          <w:t xml:space="preserve">10.1038/s41586-020-2649-2</w:t>
        </w:r>
      </w:hyperlink>
    </w:p>
    <w:bookmarkEnd w:id="177"/>
    <w:bookmarkStart w:id="179" w:name="ref-cfr46102"/>
    <w:p>
      <w:pPr>
        <w:pStyle w:val="Bibliography"/>
      </w:pPr>
      <w:r>
        <w:t xml:space="preserve">59.</w:t>
      </w:r>
      <w:r>
        <w:t xml:space="preserve"> </w:t>
      </w:r>
      <w:r>
        <w:t xml:space="preserve">	</w:t>
      </w:r>
      <w:r>
        <w:t xml:space="preserve">US Department of Health and Human Services. 45</w:t>
      </w:r>
      <w:r>
        <w:t xml:space="preserve"> </w:t>
      </w:r>
      <w:r>
        <w:t xml:space="preserve">CFR</w:t>
      </w:r>
      <w:r>
        <w:t xml:space="preserve"> </w:t>
      </w:r>
      <w:r>
        <w:t xml:space="preserve">46.102:</w:t>
      </w:r>
      <w:r>
        <w:t xml:space="preserve"> </w:t>
      </w:r>
      <w:r>
        <w:t xml:space="preserve">Definitions</w:t>
      </w:r>
      <w:r>
        <w:t xml:space="preserve"> </w:t>
      </w:r>
      <w:r>
        <w:t xml:space="preserve">for purposes of this policy. Published online 2026.</w:t>
      </w:r>
      <w:r>
        <w:t xml:space="preserve"> </w:t>
      </w:r>
      <w:hyperlink r:id="rId178">
        <w:r>
          <w:rPr>
            <w:rStyle w:val="Hyperlink"/>
          </w:rPr>
          <w:t xml:space="preserve">https://www.ecfr.gov/on/2026-10-01/title-45/subtitle-A/subchapter-A/part-46/subpart-A/section-46.102#p-46.102%28e%29%281%29</w:t>
        </w:r>
      </w:hyperlink>
    </w:p>
    <w:bookmarkEnd w:id="179"/>
    <w:bookmarkStart w:id="181" w:name="ref-gelmancarlin2014"/>
    <w:p>
      <w:pPr>
        <w:pStyle w:val="Bibliography"/>
      </w:pPr>
      <w:r>
        <w:t xml:space="preserve">60.</w:t>
      </w:r>
      <w:r>
        <w:t xml:space="preserve"> </w:t>
      </w:r>
      <w:r>
        <w:t xml:space="preserve">	</w:t>
      </w:r>
      <w:r>
        <w:t xml:space="preserve">Gelman A, Carlin J. Beyond Power Calculations: Assessing Type S (Sign) and Type M (Magnitude) Errors.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. 2014;9(6):641-651. doi:</w:t>
      </w:r>
      <w:hyperlink r:id="rId180">
        <w:r>
          <w:rPr>
            <w:rStyle w:val="Hyperlink"/>
          </w:rPr>
          <w:t xml:space="preserve">10.1177/1745691614551642</w:t>
        </w:r>
      </w:hyperlink>
    </w:p>
    <w:bookmarkEnd w:id="181"/>
    <w:bookmarkStart w:id="183" w:name="ref-cfr2024"/>
    <w:p>
      <w:pPr>
        <w:pStyle w:val="Bibliography"/>
      </w:pPr>
      <w:r>
        <w:t xml:space="preserve">61.</w:t>
      </w:r>
      <w:r>
        <w:t xml:space="preserve"> </w:t>
      </w:r>
      <w:r>
        <w:t xml:space="preserve">	</w:t>
      </w:r>
      <w:r>
        <w:t xml:space="preserve">Centers for Medicare &amp; Medicaid Services. 42</w:t>
      </w:r>
      <w:r>
        <w:t xml:space="preserve"> </w:t>
      </w:r>
      <w:r>
        <w:t xml:space="preserve">CFR</w:t>
      </w:r>
      <w:r>
        <w:t xml:space="preserve"> </w:t>
      </w:r>
      <w:r>
        <w:t xml:space="preserve">425.652, 425.656 and 425.658: Benchmarks, regional adjustment and prior savings adjustment for agreement periods beginning on</w:t>
      </w:r>
      <w:r>
        <w:t xml:space="preserve"> </w:t>
      </w:r>
      <w:r>
        <w:t xml:space="preserve">January</w:t>
      </w:r>
      <w:r>
        <w:t xml:space="preserve"> </w:t>
      </w:r>
      <w:r>
        <w:t xml:space="preserve">1, 2024, and in subsequent years. Published online 2024.</w:t>
      </w:r>
      <w:r>
        <w:t xml:space="preserve"> </w:t>
      </w:r>
      <w:hyperlink r:id="rId182">
        <w:r>
          <w:rPr>
            <w:rStyle w:val="Hyperlink"/>
          </w:rPr>
          <w:t xml:space="preserve">https://www.ecfr.gov/on/2024-01-01/title-42/chapter-IV/subchapter-B/part-425/subpart-G/section-425.652</w:t>
        </w:r>
      </w:hyperlink>
    </w:p>
    <w:bookmarkEnd w:id="183"/>
    <w:bookmarkStart w:id="185" w:name="ref-aha2021"/>
    <w:p>
      <w:pPr>
        <w:pStyle w:val="Bibliography"/>
      </w:pPr>
      <w:r>
        <w:t xml:space="preserve">62.</w:t>
      </w:r>
      <w:r>
        <w:t xml:space="preserve"> </w:t>
      </w:r>
      <w:r>
        <w:t xml:space="preserve">	</w:t>
      </w:r>
      <w:r>
        <w:t xml:space="preserve">American Hospital Association, National Association of ACOs, et al.</w:t>
      </w:r>
      <w:r>
        <w:t xml:space="preserve"> Letter to</w:t>
      </w:r>
      <w:r>
        <w:t xml:space="preserve"> </w:t>
      </w:r>
      <w:r>
        <w:t xml:space="preserve">CMS</w:t>
      </w:r>
      <w:r>
        <w:t xml:space="preserve">: Request to provide</w:t>
      </w:r>
      <w:r>
        <w:t xml:space="preserve"> </w:t>
      </w:r>
      <w:r>
        <w:t xml:space="preserve">MSSP</w:t>
      </w:r>
      <w:r>
        <w:t xml:space="preserve"> </w:t>
      </w:r>
      <w:r>
        <w:t xml:space="preserve">ACOs</w:t>
      </w:r>
      <w:r>
        <w:t xml:space="preserve"> </w:t>
      </w:r>
      <w:r>
        <w:t xml:space="preserve">an option to use pre-pandemic years to set benchmarks. Published online 2021.</w:t>
      </w:r>
      <w:r>
        <w:t xml:space="preserve"> </w:t>
      </w:r>
      <w:hyperlink r:id="rId184">
        <w:r>
          <w:rPr>
            <w:rStyle w:val="Hyperlink"/>
          </w:rPr>
          <w:t xml:space="preserve">https://www.aha.org/lettercomment/2021-10-14-aha-others-cms-re-request-provide-mssp-acos-option-use-pre-pandemic-years</w:t>
        </w:r>
      </w:hyperlink>
    </w:p>
    <w:bookmarkEnd w:id="185"/>
    <w:bookmarkStart w:id="187" w:name="ref-paperrepo"/>
    <w:p>
      <w:pPr>
        <w:pStyle w:val="Bibliography"/>
      </w:pPr>
      <w:r>
        <w:t xml:space="preserve">63.</w:t>
      </w:r>
      <w:r>
        <w:t xml:space="preserve"> </w:t>
      </w:r>
      <w:r>
        <w:t xml:space="preserve">	</w:t>
      </w:r>
      <w:r>
        <w:t xml:space="preserve">Harrold ST. Manuscript repository for the</w:t>
      </w:r>
      <w:r>
        <w:t xml:space="preserve"> </w:t>
      </w:r>
      <w:r>
        <w:t xml:space="preserve">MSSP</w:t>
      </w:r>
      <w:r>
        <w:t xml:space="preserve"> </w:t>
      </w:r>
      <w:r>
        <w:t xml:space="preserve">early-renewal study: Text, generated tables and figures, and committed results files. Published online 2026.</w:t>
      </w:r>
      <w:r>
        <w:t xml:space="preserve"> </w:t>
      </w:r>
      <w:hyperlink r:id="rId186">
        <w:r>
          <w:rPr>
            <w:rStyle w:val="Hyperlink"/>
          </w:rPr>
          <w:t xml:space="preserve">https://github.com/stharrold/mssp-paper-2026</w:t>
        </w:r>
      </w:hyperlink>
    </w:p>
    <w:bookmarkEnd w:id="187"/>
    <w:bookmarkStart w:id="189" w:name="ref-post"/>
    <w:p>
      <w:pPr>
        <w:pStyle w:val="Bibliography"/>
      </w:pPr>
      <w:r>
        <w:t xml:space="preserve">64.</w:t>
      </w:r>
      <w:r>
        <w:t xml:space="preserve"> </w:t>
      </w:r>
      <w:r>
        <w:t xml:space="preserve">	</w:t>
      </w:r>
      <w:r>
        <w:t xml:space="preserve">Harrold ST. Why did</w:t>
      </w:r>
      <w:r>
        <w:t xml:space="preserve"> </w:t>
      </w:r>
      <w:r>
        <w:t xml:space="preserve">Medicare</w:t>
      </w:r>
      <w:r>
        <w:t xml:space="preserve"> </w:t>
      </w:r>
      <w:r>
        <w:t xml:space="preserve">ACOs</w:t>
      </w:r>
      <w:r>
        <w:t xml:space="preserve"> </w:t>
      </w:r>
      <w:r>
        <w:t xml:space="preserve">reset their benchmarks early?</w:t>
      </w:r>
      <w:r>
        <w:t xml:space="preserve"> </w:t>
      </w:r>
      <w:r>
        <w:t xml:space="preserve">A</w:t>
      </w:r>
      <w:r>
        <w:t xml:space="preserve"> </w:t>
      </w:r>
      <w:r>
        <w:t xml:space="preserve">pre-registered study. Published online 2026.</w:t>
      </w:r>
      <w:r>
        <w:t xml:space="preserve"> </w:t>
      </w:r>
      <w:hyperlink r:id="rId188">
        <w:r>
          <w:rPr>
            <w:rStyle w:val="Hyperlink"/>
          </w:rPr>
          <w:t xml:space="preserve">https://stharrold.github.io/20261027-preregistered-mssp-early-renewal.html</w:t>
        </w:r>
      </w:hyperlink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hyperlink" Id="rId109" Target="https://data.cms.gov/medicare-shared-savings-program/accountable-care-organizations" TargetMode="External" /><Relationship Type="http://schemas.openxmlformats.org/officeDocument/2006/relationships/hyperlink" Id="rId122" Target="https://data.cms.gov/medicare-shared-savings-program/county-level-aggregate-expenditure-and-risk-score-data-on-assignable-beneficiaries" TargetMode="External" /><Relationship Type="http://schemas.openxmlformats.org/officeDocument/2006/relationships/hyperlink" Id="rId124" Target="https://data.cms.gov/medicare-shared-savings-program/number-of-accountable-care-organization-assigned-beneficiaries-by-county" TargetMode="External" /><Relationship Type="http://schemas.openxmlformats.org/officeDocument/2006/relationships/hyperlink" Id="rId120" Target="https://data.cms.gov/medicare-shared-savings-program/performance-year-financial-and-quality-results" TargetMode="External" /><Relationship Type="http://schemas.openxmlformats.org/officeDocument/2006/relationships/hyperlink" Id="rId73" Target="https://doi.org/10.1001/jama.2025.3870" TargetMode="External" /><Relationship Type="http://schemas.openxmlformats.org/officeDocument/2006/relationships/hyperlink" Id="rId93" Target="https://doi.org/10.1001/jamanetworkopen.2026.0166" TargetMode="External" /><Relationship Type="http://schemas.openxmlformats.org/officeDocument/2006/relationships/hyperlink" Id="rId142" Target="https://doi.org/10.1002/sim.3107" TargetMode="External" /><Relationship Type="http://schemas.openxmlformats.org/officeDocument/2006/relationships/hyperlink" Id="rId103" Target="https://doi.org/10.1007/s11606-020-06424-7" TargetMode="External" /><Relationship Type="http://schemas.openxmlformats.org/officeDocument/2006/relationships/hyperlink" Id="rId99" Target="https://doi.org/10.1007/s11606-022-07947-x" TargetMode="External" /><Relationship Type="http://schemas.openxmlformats.org/officeDocument/2006/relationships/hyperlink" Id="rId164" Target="https://doi.org/10.1016/0304-4076(85)90158-7" TargetMode="External" /><Relationship Type="http://schemas.openxmlformats.org/officeDocument/2006/relationships/hyperlink" Id="rId152" Target="https://doi.org/10.1016/j.jeconom.2020.12.001" TargetMode="External" /><Relationship Type="http://schemas.openxmlformats.org/officeDocument/2006/relationships/hyperlink" Id="rId176" Target="https://doi.org/10.1038/s41586-020-2649-2" TargetMode="External" /><Relationship Type="http://schemas.openxmlformats.org/officeDocument/2006/relationships/hyperlink" Id="rId69" Target="https://doi.org/10.1056/nejmsa1600142" TargetMode="External" /><Relationship Type="http://schemas.openxmlformats.org/officeDocument/2006/relationships/hyperlink" Id="rId71" Target="https://doi.org/10.1056/nejmsa1803388" TargetMode="External" /><Relationship Type="http://schemas.openxmlformats.org/officeDocument/2006/relationships/hyperlink" Id="rId91" Target="https://doi.org/10.1086/726748" TargetMode="External" /><Relationship Type="http://schemas.openxmlformats.org/officeDocument/2006/relationships/hyperlink" Id="rId162" Target="https://doi.org/10.1093/biomet/34.1-2.28" TargetMode="External" /><Relationship Type="http://schemas.openxmlformats.org/officeDocument/2006/relationships/hyperlink" Id="rId160" Target="https://doi.org/10.1093/biomet/70.1.41" TargetMode="External" /><Relationship Type="http://schemas.openxmlformats.org/officeDocument/2006/relationships/hyperlink" Id="rId146" Target="https://doi.org/10.1093/biomet/80.1.27" TargetMode="External" /><Relationship Type="http://schemas.openxmlformats.org/officeDocument/2006/relationships/hyperlink" Id="rId101" Target="https://doi.org/10.1093/haschl/qxad093" TargetMode="External" /><Relationship Type="http://schemas.openxmlformats.org/officeDocument/2006/relationships/hyperlink" Id="rId158" Target="https://doi.org/10.1093/restud/rdad018" TargetMode="External" /><Relationship Type="http://schemas.openxmlformats.org/officeDocument/2006/relationships/hyperlink" Id="rId75" Target="https://doi.org/10.1111/1468-0009.12468" TargetMode="External" /><Relationship Type="http://schemas.openxmlformats.org/officeDocument/2006/relationships/hyperlink" Id="rId97" Target="https://doi.org/10.1111/jrh.12672" TargetMode="External" /><Relationship Type="http://schemas.openxmlformats.org/officeDocument/2006/relationships/hyperlink" Id="rId170" Target="https://doi.org/10.1145/3299869.3320212" TargetMode="External" /><Relationship Type="http://schemas.openxmlformats.org/officeDocument/2006/relationships/hyperlink" Id="rId180" Target="https://doi.org/10.1177/1745691614551642" TargetMode="External" /><Relationship Type="http://schemas.openxmlformats.org/officeDocument/2006/relationships/hyperlink" Id="rId156" Target="https://doi.org/10.1177/1948550617697177" TargetMode="External" /><Relationship Type="http://schemas.openxmlformats.org/officeDocument/2006/relationships/hyperlink" Id="rId150" Target="https://doi.org/10.1214/08-aoas191" TargetMode="External" /><Relationship Type="http://schemas.openxmlformats.org/officeDocument/2006/relationships/hyperlink" Id="rId144" Target="https://doi.org/10.1214/20-ba1221" TargetMode="External" /><Relationship Type="http://schemas.openxmlformats.org/officeDocument/2006/relationships/hyperlink" Id="rId134" Target="https://doi.org/10.1214/aos/1176345338" TargetMode="External" /><Relationship Type="http://schemas.openxmlformats.org/officeDocument/2006/relationships/hyperlink" Id="rId154" Target="https://doi.org/10.1257/aeri.20210236" TargetMode="External" /><Relationship Type="http://schemas.openxmlformats.org/officeDocument/2006/relationships/hyperlink" Id="rId116" Target="https://doi.org/10.1371/journal.pmed.0040296" TargetMode="External" /><Relationship Type="http://schemas.openxmlformats.org/officeDocument/2006/relationships/hyperlink" Id="rId81" Target="https://doi.org/10.1377/hlthaff.2014.0444" TargetMode="External" /><Relationship Type="http://schemas.openxmlformats.org/officeDocument/2006/relationships/hyperlink" Id="rId87" Target="https://doi.org/10.1377/hlthaff.2015.1026" TargetMode="External" /><Relationship Type="http://schemas.openxmlformats.org/officeDocument/2006/relationships/hyperlink" Id="rId95" Target="https://doi.org/10.1377/hlthaff.2018.05097" TargetMode="External" /><Relationship Type="http://schemas.openxmlformats.org/officeDocument/2006/relationships/hyperlink" Id="rId79" Target="https://doi.org/10.1377/hlthaff.2018.05407" TargetMode="External" /><Relationship Type="http://schemas.openxmlformats.org/officeDocument/2006/relationships/hyperlink" Id="rId105" Target="https://doi.org/10.1377/hlthaff.2020.01819" TargetMode="External" /><Relationship Type="http://schemas.openxmlformats.org/officeDocument/2006/relationships/hyperlink" Id="rId89" Target="https://doi.org/10.1377/hlthaff.2022.01061" TargetMode="External" /><Relationship Type="http://schemas.openxmlformats.org/officeDocument/2006/relationships/hyperlink" Id="rId11" Target="https://doi.org/10.17605/OSF.IO/C53W9" TargetMode="External" /><Relationship Type="http://schemas.openxmlformats.org/officeDocument/2006/relationships/hyperlink" Id="rId126" Target="https://doi.org/10.17605/OSF.IO/Z4AN5" TargetMode="External" /><Relationship Type="http://schemas.openxmlformats.org/officeDocument/2006/relationships/hyperlink" Id="rId174" Target="https://doi.org/10.21105/joss.01143" TargetMode="External" /><Relationship Type="http://schemas.openxmlformats.org/officeDocument/2006/relationships/hyperlink" Id="rId136" Target="https://doi.org/10.2202/1544-6115.1585" TargetMode="External" /><Relationship Type="http://schemas.openxmlformats.org/officeDocument/2006/relationships/hyperlink" Id="rId83" Target="https://doi.org/10.2307/3003414" TargetMode="External" /><Relationship Type="http://schemas.openxmlformats.org/officeDocument/2006/relationships/hyperlink" Id="rId166" Target="https://doi.org/10.25080/majora-92bf1922-011" TargetMode="External" /><Relationship Type="http://schemas.openxmlformats.org/officeDocument/2006/relationships/hyperlink" Id="rId77" Target="https://doi.org/10.7326/m18-2539" TargetMode="External" /><Relationship Type="http://schemas.openxmlformats.org/officeDocument/2006/relationships/hyperlink" Id="rId138" Target="https://doi.org/10.7717/peerj-cs.1516" TargetMode="External" /><Relationship Type="http://schemas.openxmlformats.org/officeDocument/2006/relationships/hyperlink" Id="rId113" Target="https://edge.sitecorecloud.io/millimaninc5660-milliman6442-prod27d5-0001/media/Milliman/PDFs/2025-Articles/4-7-25_MSSP-annual-renewal-considerations.pdf" TargetMode="External" /><Relationship Type="http://schemas.openxmlformats.org/officeDocument/2006/relationships/hyperlink" Id="rId172" Target="https://github.com/astral-sh/uv" TargetMode="External" /><Relationship Type="http://schemas.openxmlformats.org/officeDocument/2006/relationships/hyperlink" Id="rId168" Target="https://github.com/dbt-labs/dbt-core" TargetMode="External" /><Relationship Type="http://schemas.openxmlformats.org/officeDocument/2006/relationships/hyperlink" Id="rId148" Target="https://github.com/jzluo/firthmodels" TargetMode="External" /><Relationship Type="http://schemas.openxmlformats.org/officeDocument/2006/relationships/hyperlink" Id="rId186" Target="https://github.com/stharrold/mssp-paper-2026" TargetMode="External" /><Relationship Type="http://schemas.openxmlformats.org/officeDocument/2006/relationships/hyperlink" Id="rId118" Target="https://github.com/stharrold/stharrold.github.io/tree/a4064f592a492d971ce3c27e95afb3050e6bc01d/analysis/mssp-benchmark-ratchet" TargetMode="External" /><Relationship Type="http://schemas.openxmlformats.org/officeDocument/2006/relationships/hyperlink" Id="rId140" Target="https://jmlr.org/papers/v15/hoffman14a.html" TargetMode="External" /><Relationship Type="http://schemas.openxmlformats.org/officeDocument/2006/relationships/hyperlink" Id="rId9" Target="https://orcid.org/0009-0008-4596-6921" TargetMode="External" /><Relationship Type="http://schemas.openxmlformats.org/officeDocument/2006/relationships/hyperlink" Id="rId188" Target="https://stharrold.github.io/20261027-preregistered-mssp-early-renewal.html" TargetMode="External" /><Relationship Type="http://schemas.openxmlformats.org/officeDocument/2006/relationships/hyperlink" Id="rId128" Target="https://web.archive.org/web/20250516214605/https://www.hhs.gov/guidance/document/cms-cell-suppression-policy" TargetMode="External" /><Relationship Type="http://schemas.openxmlformats.org/officeDocument/2006/relationships/hyperlink" Id="rId184" Target="https://www.aha.org/lettercomment/2021-10-14-aha-others-cms-re-request-provide-mssp-acos-option-use-pre-pandemic-years" TargetMode="External" /><Relationship Type="http://schemas.openxmlformats.org/officeDocument/2006/relationships/hyperlink" Id="rId65" Target="https://www.cms.gov/files/document/2026-shared-savings-program-fast-facts.pdf" TargetMode="External" /><Relationship Type="http://schemas.openxmlformats.org/officeDocument/2006/relationships/hyperlink" Id="rId130" Target="https://www.cms.gov/files/document/medicare-shared-savings-program-shared-savings-and-losses-and-assignment-methodology-specifications.pdf-1" TargetMode="External" /><Relationship Type="http://schemas.openxmlformats.org/officeDocument/2006/relationships/hyperlink" Id="rId63" Target="https://www.ecfr.gov/on/2022-01-01/title-42/chapter-IV/subchapter-B/part-425" TargetMode="External" /><Relationship Type="http://schemas.openxmlformats.org/officeDocument/2006/relationships/hyperlink" Id="rId132" Target="https://www.ecfr.gov/on/2022-01-01/title-42/chapter-IV/subchapter-B/part-425/subpart-G/section-425.600#p-425.600%28d%29" TargetMode="External" /><Relationship Type="http://schemas.openxmlformats.org/officeDocument/2006/relationships/hyperlink" Id="rId67" Target="https://www.ecfr.gov/on/2022-01-01/title-42/chapter-IV/subchapter-B/part-425/subpart-G/section-425.601" TargetMode="External" /><Relationship Type="http://schemas.openxmlformats.org/officeDocument/2006/relationships/hyperlink" Id="rId182" Target="https://www.ecfr.gov/on/2024-01-01/title-42/chapter-IV/subchapter-B/part-425/subpart-G/section-425.652" TargetMode="External" /><Relationship Type="http://schemas.openxmlformats.org/officeDocument/2006/relationships/hyperlink" Id="rId178" Target="https://www.ecfr.gov/on/2026-10-01/title-45/subtitle-A/subchapter-A/part-46/subpart-A/section-46.102#p-46.102%28e%29%281%29" TargetMode="External" /><Relationship Type="http://schemas.openxmlformats.org/officeDocument/2006/relationships/hyperlink" Id="rId107" Target="https://www.federalregister.gov/documents/2018/12/31/2018-27981/medicare-program-medicare-shared-savings-program-accountable-care-organizations-pathways-to-success" TargetMode="External" /><Relationship Type="http://schemas.openxmlformats.org/officeDocument/2006/relationships/hyperlink" Id="rId111" Target="https://www.milliman.com/-/media/milliman/pdfs/2024-articles/4-2-24_medicare_shared_savings_program_aco_financial_results_for_2022.ashx" TargetMode="External" /><Relationship Type="http://schemas.openxmlformats.org/officeDocument/2006/relationships/hyperlink" Id="rId85" Target="https://www.proquest.com/openview/92b6e8f86c7ba39e2ba879d91063898b/1" TargetMode="External" /><Relationship Type="http://schemas.openxmlformats.org/officeDocument/2006/relationships/hyperlink" Id="rId10" Target="mailto:samuel.harrold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data.cms.gov/medicare-shared-savings-program/accountable-care-organizations" TargetMode="External" /><Relationship Type="http://schemas.openxmlformats.org/officeDocument/2006/relationships/hyperlink" Id="rId122" Target="https://data.cms.gov/medicare-shared-savings-program/county-level-aggregate-expenditure-and-risk-score-data-on-assignable-beneficiaries" TargetMode="External" /><Relationship Type="http://schemas.openxmlformats.org/officeDocument/2006/relationships/hyperlink" Id="rId124" Target="https://data.cms.gov/medicare-shared-savings-program/number-of-accountable-care-organization-assigned-beneficiaries-by-county" TargetMode="External" /><Relationship Type="http://schemas.openxmlformats.org/officeDocument/2006/relationships/hyperlink" Id="rId120" Target="https://data.cms.gov/medicare-shared-savings-program/performance-year-financial-and-quality-results" TargetMode="External" /><Relationship Type="http://schemas.openxmlformats.org/officeDocument/2006/relationships/hyperlink" Id="rId73" Target="https://doi.org/10.1001/jama.2025.3870" TargetMode="External" /><Relationship Type="http://schemas.openxmlformats.org/officeDocument/2006/relationships/hyperlink" Id="rId93" Target="https://doi.org/10.1001/jamanetworkopen.2026.0166" TargetMode="External" /><Relationship Type="http://schemas.openxmlformats.org/officeDocument/2006/relationships/hyperlink" Id="rId142" Target="https://doi.org/10.1002/sim.3107" TargetMode="External" /><Relationship Type="http://schemas.openxmlformats.org/officeDocument/2006/relationships/hyperlink" Id="rId103" Target="https://doi.org/10.1007/s11606-020-06424-7" TargetMode="External" /><Relationship Type="http://schemas.openxmlformats.org/officeDocument/2006/relationships/hyperlink" Id="rId99" Target="https://doi.org/10.1007/s11606-022-07947-x" TargetMode="External" /><Relationship Type="http://schemas.openxmlformats.org/officeDocument/2006/relationships/hyperlink" Id="rId164" Target="https://doi.org/10.1016/0304-4076(85)90158-7" TargetMode="External" /><Relationship Type="http://schemas.openxmlformats.org/officeDocument/2006/relationships/hyperlink" Id="rId152" Target="https://doi.org/10.1016/j.jeconom.2020.12.001" TargetMode="External" /><Relationship Type="http://schemas.openxmlformats.org/officeDocument/2006/relationships/hyperlink" Id="rId176" Target="https://doi.org/10.1038/s41586-020-2649-2" TargetMode="External" /><Relationship Type="http://schemas.openxmlformats.org/officeDocument/2006/relationships/hyperlink" Id="rId69" Target="https://doi.org/10.1056/nejmsa1600142" TargetMode="External" /><Relationship Type="http://schemas.openxmlformats.org/officeDocument/2006/relationships/hyperlink" Id="rId71" Target="https://doi.org/10.1056/nejmsa1803388" TargetMode="External" /><Relationship Type="http://schemas.openxmlformats.org/officeDocument/2006/relationships/hyperlink" Id="rId91" Target="https://doi.org/10.1086/726748" TargetMode="External" /><Relationship Type="http://schemas.openxmlformats.org/officeDocument/2006/relationships/hyperlink" Id="rId162" Target="https://doi.org/10.1093/biomet/34.1-2.28" TargetMode="External" /><Relationship Type="http://schemas.openxmlformats.org/officeDocument/2006/relationships/hyperlink" Id="rId160" Target="https://doi.org/10.1093/biomet/70.1.41" TargetMode="External" /><Relationship Type="http://schemas.openxmlformats.org/officeDocument/2006/relationships/hyperlink" Id="rId146" Target="https://doi.org/10.1093/biomet/80.1.27" TargetMode="External" /><Relationship Type="http://schemas.openxmlformats.org/officeDocument/2006/relationships/hyperlink" Id="rId101" Target="https://doi.org/10.1093/haschl/qxad093" TargetMode="External" /><Relationship Type="http://schemas.openxmlformats.org/officeDocument/2006/relationships/hyperlink" Id="rId158" Target="https://doi.org/10.1093/restud/rdad018" TargetMode="External" /><Relationship Type="http://schemas.openxmlformats.org/officeDocument/2006/relationships/hyperlink" Id="rId75" Target="https://doi.org/10.1111/1468-0009.12468" TargetMode="External" /><Relationship Type="http://schemas.openxmlformats.org/officeDocument/2006/relationships/hyperlink" Id="rId97" Target="https://doi.org/10.1111/jrh.12672" TargetMode="External" /><Relationship Type="http://schemas.openxmlformats.org/officeDocument/2006/relationships/hyperlink" Id="rId170" Target="https://doi.org/10.1145/3299869.3320212" TargetMode="External" /><Relationship Type="http://schemas.openxmlformats.org/officeDocument/2006/relationships/hyperlink" Id="rId180" Target="https://doi.org/10.1177/1745691614551642" TargetMode="External" /><Relationship Type="http://schemas.openxmlformats.org/officeDocument/2006/relationships/hyperlink" Id="rId156" Target="https://doi.org/10.1177/1948550617697177" TargetMode="External" /><Relationship Type="http://schemas.openxmlformats.org/officeDocument/2006/relationships/hyperlink" Id="rId150" Target="https://doi.org/10.1214/08-aoas191" TargetMode="External" /><Relationship Type="http://schemas.openxmlformats.org/officeDocument/2006/relationships/hyperlink" Id="rId144" Target="https://doi.org/10.1214/20-ba1221" TargetMode="External" /><Relationship Type="http://schemas.openxmlformats.org/officeDocument/2006/relationships/hyperlink" Id="rId134" Target="https://doi.org/10.1214/aos/1176345338" TargetMode="External" /><Relationship Type="http://schemas.openxmlformats.org/officeDocument/2006/relationships/hyperlink" Id="rId154" Target="https://doi.org/10.1257/aeri.20210236" TargetMode="External" /><Relationship Type="http://schemas.openxmlformats.org/officeDocument/2006/relationships/hyperlink" Id="rId116" Target="https://doi.org/10.1371/journal.pmed.0040296" TargetMode="External" /><Relationship Type="http://schemas.openxmlformats.org/officeDocument/2006/relationships/hyperlink" Id="rId81" Target="https://doi.org/10.1377/hlthaff.2014.0444" TargetMode="External" /><Relationship Type="http://schemas.openxmlformats.org/officeDocument/2006/relationships/hyperlink" Id="rId87" Target="https://doi.org/10.1377/hlthaff.2015.1026" TargetMode="External" /><Relationship Type="http://schemas.openxmlformats.org/officeDocument/2006/relationships/hyperlink" Id="rId95" Target="https://doi.org/10.1377/hlthaff.2018.05097" TargetMode="External" /><Relationship Type="http://schemas.openxmlformats.org/officeDocument/2006/relationships/hyperlink" Id="rId79" Target="https://doi.org/10.1377/hlthaff.2018.05407" TargetMode="External" /><Relationship Type="http://schemas.openxmlformats.org/officeDocument/2006/relationships/hyperlink" Id="rId105" Target="https://doi.org/10.1377/hlthaff.2020.01819" TargetMode="External" /><Relationship Type="http://schemas.openxmlformats.org/officeDocument/2006/relationships/hyperlink" Id="rId89" Target="https://doi.org/10.1377/hlthaff.2022.01061" TargetMode="External" /><Relationship Type="http://schemas.openxmlformats.org/officeDocument/2006/relationships/hyperlink" Id="rId11" Target="https://doi.org/10.17605/OSF.IO/C53W9" TargetMode="External" /><Relationship Type="http://schemas.openxmlformats.org/officeDocument/2006/relationships/hyperlink" Id="rId126" Target="https://doi.org/10.17605/OSF.IO/Z4AN5" TargetMode="External" /><Relationship Type="http://schemas.openxmlformats.org/officeDocument/2006/relationships/hyperlink" Id="rId174" Target="https://doi.org/10.21105/joss.01143" TargetMode="External" /><Relationship Type="http://schemas.openxmlformats.org/officeDocument/2006/relationships/hyperlink" Id="rId136" Target="https://doi.org/10.2202/1544-6115.1585" TargetMode="External" /><Relationship Type="http://schemas.openxmlformats.org/officeDocument/2006/relationships/hyperlink" Id="rId83" Target="https://doi.org/10.2307/3003414" TargetMode="External" /><Relationship Type="http://schemas.openxmlformats.org/officeDocument/2006/relationships/hyperlink" Id="rId166" Target="https://doi.org/10.25080/majora-92bf1922-011" TargetMode="External" /><Relationship Type="http://schemas.openxmlformats.org/officeDocument/2006/relationships/hyperlink" Id="rId77" Target="https://doi.org/10.7326/m18-2539" TargetMode="External" /><Relationship Type="http://schemas.openxmlformats.org/officeDocument/2006/relationships/hyperlink" Id="rId138" Target="https://doi.org/10.7717/peerj-cs.1516" TargetMode="External" /><Relationship Type="http://schemas.openxmlformats.org/officeDocument/2006/relationships/hyperlink" Id="rId113" Target="https://edge.sitecorecloud.io/millimaninc5660-milliman6442-prod27d5-0001/media/Milliman/PDFs/2025-Articles/4-7-25_MSSP-annual-renewal-considerations.pdf" TargetMode="External" /><Relationship Type="http://schemas.openxmlformats.org/officeDocument/2006/relationships/hyperlink" Id="rId172" Target="https://github.com/astral-sh/uv" TargetMode="External" /><Relationship Type="http://schemas.openxmlformats.org/officeDocument/2006/relationships/hyperlink" Id="rId168" Target="https://github.com/dbt-labs/dbt-core" TargetMode="External" /><Relationship Type="http://schemas.openxmlformats.org/officeDocument/2006/relationships/hyperlink" Id="rId148" Target="https://github.com/jzluo/firthmodels" TargetMode="External" /><Relationship Type="http://schemas.openxmlformats.org/officeDocument/2006/relationships/hyperlink" Id="rId186" Target="https://github.com/stharrold/mssp-paper-2026" TargetMode="External" /><Relationship Type="http://schemas.openxmlformats.org/officeDocument/2006/relationships/hyperlink" Id="rId118" Target="https://github.com/stharrold/stharrold.github.io/tree/a4064f592a492d971ce3c27e95afb3050e6bc01d/analysis/mssp-benchmark-ratchet" TargetMode="External" /><Relationship Type="http://schemas.openxmlformats.org/officeDocument/2006/relationships/hyperlink" Id="rId140" Target="https://jmlr.org/papers/v15/hoffman14a.html" TargetMode="External" /><Relationship Type="http://schemas.openxmlformats.org/officeDocument/2006/relationships/hyperlink" Id="rId9" Target="https://orcid.org/0009-0008-4596-6921" TargetMode="External" /><Relationship Type="http://schemas.openxmlformats.org/officeDocument/2006/relationships/hyperlink" Id="rId188" Target="https://stharrold.github.io/20261027-preregistered-mssp-early-renewal.html" TargetMode="External" /><Relationship Type="http://schemas.openxmlformats.org/officeDocument/2006/relationships/hyperlink" Id="rId128" Target="https://web.archive.org/web/20250516214605/https://www.hhs.gov/guidance/document/cms-cell-suppression-policy" TargetMode="External" /><Relationship Type="http://schemas.openxmlformats.org/officeDocument/2006/relationships/hyperlink" Id="rId184" Target="https://www.aha.org/lettercomment/2021-10-14-aha-others-cms-re-request-provide-mssp-acos-option-use-pre-pandemic-years" TargetMode="External" /><Relationship Type="http://schemas.openxmlformats.org/officeDocument/2006/relationships/hyperlink" Id="rId65" Target="https://www.cms.gov/files/document/2026-shared-savings-program-fast-facts.pdf" TargetMode="External" /><Relationship Type="http://schemas.openxmlformats.org/officeDocument/2006/relationships/hyperlink" Id="rId130" Target="https://www.cms.gov/files/document/medicare-shared-savings-program-shared-savings-and-losses-and-assignment-methodology-specifications.pdf-1" TargetMode="External" /><Relationship Type="http://schemas.openxmlformats.org/officeDocument/2006/relationships/hyperlink" Id="rId63" Target="https://www.ecfr.gov/on/2022-01-01/title-42/chapter-IV/subchapter-B/part-425" TargetMode="External" /><Relationship Type="http://schemas.openxmlformats.org/officeDocument/2006/relationships/hyperlink" Id="rId132" Target="https://www.ecfr.gov/on/2022-01-01/title-42/chapter-IV/subchapter-B/part-425/subpart-G/section-425.600#p-425.600%28d%29" TargetMode="External" /><Relationship Type="http://schemas.openxmlformats.org/officeDocument/2006/relationships/hyperlink" Id="rId67" Target="https://www.ecfr.gov/on/2022-01-01/title-42/chapter-IV/subchapter-B/part-425/subpart-G/section-425.601" TargetMode="External" /><Relationship Type="http://schemas.openxmlformats.org/officeDocument/2006/relationships/hyperlink" Id="rId182" Target="https://www.ecfr.gov/on/2024-01-01/title-42/chapter-IV/subchapter-B/part-425/subpart-G/section-425.652" TargetMode="External" /><Relationship Type="http://schemas.openxmlformats.org/officeDocument/2006/relationships/hyperlink" Id="rId178" Target="https://www.ecfr.gov/on/2026-10-01/title-45/subtitle-A/subchapter-A/part-46/subpart-A/section-46.102#p-46.102%28e%29%281%29" TargetMode="External" /><Relationship Type="http://schemas.openxmlformats.org/officeDocument/2006/relationships/hyperlink" Id="rId107" Target="https://www.federalregister.gov/documents/2018/12/31/2018-27981/medicare-program-medicare-shared-savings-program-accountable-care-organizations-pathways-to-success" TargetMode="External" /><Relationship Type="http://schemas.openxmlformats.org/officeDocument/2006/relationships/hyperlink" Id="rId111" Target="https://www.milliman.com/-/media/milliman/pdfs/2024-articles/4-2-24_medicare_shared_savings_program_aco_financial_results_for_2022.ashx" TargetMode="External" /><Relationship Type="http://schemas.openxmlformats.org/officeDocument/2006/relationships/hyperlink" Id="rId85" Target="https://www.proquest.com/openview/92b6e8f86c7ba39e2ba879d91063898b/1" TargetMode="External" /><Relationship Type="http://schemas.openxmlformats.org/officeDocument/2006/relationships/hyperlink" Id="rId10" Target="mailto:samuel.harrold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Renewal of Accountable Care Organization Agreements to Reset Benchmarks in the Medicare Shared Savings Program: Preregistered Retrospective Cohort Study</dc:title>
  <dc:creator>Samuel Thomas Harrold</dc:creator>
  <dc:language>en-US</dc:language>
  <cp:keywords/>
  <dcterms:created xsi:type="dcterms:W3CDTF">2026-10-28T14:53:46Z</dcterms:created>
  <dcterms:modified xsi:type="dcterms:W3CDTF">2026-10-28T14:53:46Z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itecolor">
    <vt:lpwstr>blue</vt:lpwstr>
  </property>
  <property fmtid="{D5CDD505-2E9C-101B-9397-08002B2CF9AE}" pid="4" name="colorlinks">
    <vt:lpwstr>True</vt:lpwstr>
  </property>
  <property fmtid="{D5CDD505-2E9C-101B-9397-08002B2CF9AE}" pid="5" name="csl">
    <vt:lpwstr>citation-style-ama.csl</vt:lpwstr>
  </property>
  <property fmtid="{D5CDD505-2E9C-101B-9397-08002B2CF9AE}" pid="6" name="date">
    <vt:lpwstr>October 2026</vt:lpwstr>
  </property>
  <property fmtid="{D5CDD505-2E9C-101B-9397-08002B2CF9AE}" pid="7" name="documentclass">
    <vt:lpwstr>article</vt:lpwstr>
  </property>
  <property fmtid="{D5CDD505-2E9C-101B-9397-08002B2CF9AE}" pid="8" name="fontsize">
    <vt:lpwstr>11pt</vt:lpwstr>
  </property>
  <property fmtid="{D5CDD505-2E9C-101B-9397-08002B2CF9AE}" pid="9" name="footer-center">
    <vt:lpwstr/>
  </property>
  <property fmtid="{D5CDD505-2E9C-101B-9397-08002B2CF9AE}" pid="10" name="footer-left">
    <vt:lpwstr>CC BY 4.0</vt:lpwstr>
  </property>
  <property fmtid="{D5CDD505-2E9C-101B-9397-08002B2CF9AE}" pid="11" name="footer-right">
    <vt:lpwstr/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header-left">
    <vt:lpwstr>Early renewal in the Medicare Shared Savings Program</vt:lpwstr>
  </property>
  <property fmtid="{D5CDD505-2E9C-101B-9397-08002B2CF9AE}" pid="15" name="header-right">
    <vt:lpwstr>October 2026</vt:lpwstr>
  </property>
  <property fmtid="{D5CDD505-2E9C-101B-9397-08002B2CF9AE}" pid="16" name="include-before">
    <vt:lpwstr/>
  </property>
  <property fmtid="{D5CDD505-2E9C-101B-9397-08002B2CF9AE}" pid="17" name="linestretch">
    <vt:lpwstr>1.3</vt:lpwstr>
  </property>
  <property fmtid="{D5CDD505-2E9C-101B-9397-08002B2CF9AE}" pid="18" name="link-bibliography">
    <vt:lpwstr>True</vt:lpwstr>
  </property>
  <property fmtid="{D5CDD505-2E9C-101B-9397-08002B2CF9AE}" pid="19" name="link-citations">
    <vt:lpwstr>True</vt:lpwstr>
  </property>
  <property fmtid="{D5CDD505-2E9C-101B-9397-08002B2CF9AE}" pid="20" name="linkcolor">
    <vt:lpwstr>blue</vt:lpwstr>
  </property>
  <property fmtid="{D5CDD505-2E9C-101B-9397-08002B2CF9AE}" pid="21" name="mainfont">
    <vt:lpwstr>lmroman10-regular.otf</vt:lpwstr>
  </property>
  <property fmtid="{D5CDD505-2E9C-101B-9397-08002B2CF9AE}" pid="22" name="mainfontoptions">
    <vt:lpwstr/>
  </property>
  <property fmtid="{D5CDD505-2E9C-101B-9397-08002B2CF9AE}" pid="23" name="monofont">
    <vt:lpwstr>lmmono10-regular.otf</vt:lpwstr>
  </property>
  <property fmtid="{D5CDD505-2E9C-101B-9397-08002B2CF9AE}" pid="24" name="numbersections">
    <vt:lpwstr>False</vt:lpwstr>
  </property>
  <property fmtid="{D5CDD505-2E9C-101B-9397-08002B2CF9AE}" pid="25" name="papersize">
    <vt:lpwstr>letter</vt:lpwstr>
  </property>
  <property fmtid="{D5CDD505-2E9C-101B-9397-08002B2CF9AE}" pid="26" name="prevent-widows">
    <vt:lpwstr>True</vt:lpwstr>
  </property>
  <property fmtid="{D5CDD505-2E9C-101B-9397-08002B2CF9AE}" pid="27" name="sansfont">
    <vt:lpwstr>lmsans10-regular.otf</vt:lpwstr>
  </property>
  <property fmtid="{D5CDD505-2E9C-101B-9397-08002B2CF9AE}" pid="28" name="sansfontoptions">
    <vt:lpwstr/>
  </property>
  <property fmtid="{D5CDD505-2E9C-101B-9397-08002B2CF9AE}" pid="29" name="table-use-row-colors">
    <vt:lpwstr>False</vt:lpwstr>
  </property>
  <property fmtid="{D5CDD505-2E9C-101B-9397-08002B2CF9AE}" pid="30" name="titlepage">
    <vt:lpwstr>False</vt:lpwstr>
  </property>
  <property fmtid="{D5CDD505-2E9C-101B-9397-08002B2CF9AE}" pid="31" name="toc">
    <vt:lpwstr>False</vt:lpwstr>
  </property>
  <property fmtid="{D5CDD505-2E9C-101B-9397-08002B2CF9AE}" pid="32" name="urlcolor">
    <vt:lpwstr>blue</vt:lpwstr>
  </property>
</Properties>
</file>