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Multimedia Appendix 2. STROBE checklist. Early Renewal of Accountable Care Organization Agreements to Reset Benchmarks in the Medicare Shared Savings Program: Preregistered Retrospective Cohort Study</w:t>
      </w:r>
    </w:p>
    <w:p>
      <w:pPr>
        <w:pStyle w:val="Author"/>
      </w:pPr>
      <w:r>
        <w:t xml:space="preserve">Samuel Thomas Harrold</w:t>
      </w:r>
    </w:p>
    <w:p>
      <w:pPr>
        <w:pStyle w:val="Date"/>
      </w:pPr>
      <w:r>
        <w:t xml:space="preserve">October 2026</w:t>
      </w:r>
    </w:p>
    <w:p>
      <w:pPr>
        <w:pStyle w:val="FirstParagraph"/>
      </w:pPr>
      <w:r>
        <w:t xml:space="preserve">Items of the STROBE statement for cohort studies,</w:t>
      </w:r>
      <w:r>
        <w:t xml:space="preserve">[</w:t>
      </w:r>
      <w:hyperlink w:anchor="ref-vonelm2007">
        <w:r>
          <w:rPr>
            <w:rStyle w:val="Hyperlink"/>
          </w:rPr>
          <w:t xml:space="preserve">1</w:t>
        </w:r>
      </w:hyperlink>
      <w:r>
        <w:t xml:space="preserve">]</w:t>
      </w:r>
      <w:r>
        <w:t xml:space="preserve"> </w:t>
      </w:r>
      <w:r>
        <w:t xml:space="preserve">with the place each is reported in the manuscript or in Multimedia Appendix 1 (eTables and eMethods).</w:t>
      </w:r>
    </w:p>
    <w:p>
      <w:pPr>
        <w:pStyle w:val="TableCaption"/>
      </w:pPr>
      <w:r>
        <w:t xml:space="preserve">STROBE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TROBE checklist"/>
      </w:tblPr>
      <w:tblGrid>
        <w:gridCol w:w="1584"/>
        <w:gridCol w:w="731"/>
        <w:gridCol w:w="2558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 (abbreviated)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reported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 and abstract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Indicate the design; give an informative, balanced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and Abstract (preregistered retrospective cohort study)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Background/rationale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Scientific background and 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Introduction, paragraphs 1-3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objectives and prespecified hypotheses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Introduction, paragraph 4; Methods, Hypotheses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 design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elements of the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Methods, Study Design and Preregistration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Setting, locations, dates of recruitment, exposure, follow-up, data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Methods, Data Sources; Population and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Eligibility criteria, sources and methods of selection; follow-up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Methods, Population and Groups; Figure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outcomes, exposures, predictors, confounders, effect modifiers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Methods, Variables; Hypotheses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Sources/measurement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 and methods of measurement; comparability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Methods, Data Sources; Variables (Validation Before Use); eTable 1; eTable 12 (post hoc, change scale)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Efforts to address potential sources of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Methods, Study Design and Preregistration (outcome lock), Statistical Analysis (equivalence condition); Discussion, Strengths and Limitations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 size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the study size was arrived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Methods, Population and Groups (all eligible ACOs); Power; eTable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Quantitative variables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quantitative variables were handled; groupings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Methods, Variables; Statistical Analysis (scaling by 2 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Statistical methods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statistical methods, including for confounding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Methods, Statistical Analysis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for subgroups and interactions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registered; single-cohort restrictions in eTables 3-4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missing data were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Methods, Variables (Suppressed Values); Results, Validation and Sample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loss to follow-up was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Methods, Statistical Analysis (not yet renewed; balanced panel); eTable 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 analyses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Methods, Covariate-Adjusted Estimates, Conventional Methods, and Robustness; eTables 3-6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Numbers at each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1; Results, Validation and Sample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Reasons for nonparticipation at each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1; Results, Validation and Sample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Descriptive 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Characteristics of participants; exposures and confounders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1 (group, cohort, track, case mix, savings rate, constructed variables); the H3 adjustment factors (size, revenue category, assignment method, agreement number) are not in the results files and are not tabulated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with missing data for each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1; Figure 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Follow-up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eTable 8 (mean included post-period years by group)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 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Numbers of outcome events or summary measures over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renewal: 29 of 306 compared ACOs (Table 1), 24 of 206 in H3 (Table 3); spending over time: eTable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results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Unadjusted and adjusted estimates with 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 2-4; Figures 2-4; eTables 3, 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boundaries for continuous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 (continuous variables not categorized)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16c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Translation of relative risk into absolute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(odds multiplier; dollar translation); eTable 5 (observed and predicted shares by decile)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analyses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Subgroups, interactions and sensitivity analyses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Results, Robustness and Conventional Methods; eTables 3-11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results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 key results with reference to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Discussion, Principal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 of potential bias or imprecision; direction and magnitude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Discussion, Strengths and Limitations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Cautious overall 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Discussion; Conclusions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Generalisability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validity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Discussion, Implications (2024 rules); Strengths and Limitations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and role of funders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</w:tr>
    </w:tbl>
    <w:bookmarkStart w:id="12" w:name="references"/>
    <w:p>
      <w:pPr>
        <w:pStyle w:val="Heading1"/>
      </w:pPr>
      <w:r>
        <w:t xml:space="preserve">References</w:t>
      </w:r>
    </w:p>
    <w:bookmarkStart w:id="11" w:name="refs"/>
    <w:bookmarkStart w:id="10" w:name="ref-vonelm2007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von Elm E, Altman DG, Egger M, et al. The Strengthening the Reporting of Observational Studies in Epidemiology (STROBE) Statement: Guidelines for Reporting Observational Studies.</w:t>
      </w:r>
      <w:r>
        <w:t xml:space="preserve"> </w:t>
      </w:r>
      <w:r>
        <w:rPr>
          <w:i/>
          <w:iCs/>
        </w:rPr>
        <w:t xml:space="preserve">PLoS Medicine</w:t>
      </w:r>
      <w:r>
        <w:t xml:space="preserve">. 2007;4(10):e296. doi:</w:t>
      </w:r>
      <w:hyperlink r:id="rId9">
        <w:r>
          <w:rPr>
            <w:rStyle w:val="Hyperlink"/>
          </w:rPr>
          <w:t xml:space="preserve">10.1371/journal.pmed.0040296</w:t>
        </w:r>
      </w:hyperlink>
    </w:p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theme="minorBidi" w:eastAsiaTheme="minorEastAsia" w:hAnsi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pacing w:after="0" w:line="480" w:lineRule="auto"/>
    </w:pPr>
    <w:name w:val="Normal"/>
    <w:qFormat/>
    <w:rPr>
      <w:rFonts w:ascii="Times New Roman" w:hAnsi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theme="majorBidi" w:eastAsiaTheme="majorEastAsia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theme="majorBidi" w:eastAsiaTheme="majorEastAsia" w:hAnsi="Times New Roman"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theme="majorBidi" w:eastAsiaTheme="majorEastAsia" w:hAnsi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theme="majorBidi" w:eastAsiaTheme="majorEastAsia" w:hAnsi="Times New Roman"/>
      <w:color w:themeTint="A6"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theme="majorBidi" w:eastAsiaTheme="majorEastAsia" w:hAnsi="Times New Roman"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theme="majorBidi" w:eastAsiaTheme="majorEastAsia" w:hAnsi="Times New Roman"/>
      <w:color w:val="000000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theme="majorBidi" w:eastAsiaTheme="majorEastAsia" w:hAnsi="Times New Roman"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theme="majorBidi" w:eastAsiaTheme="majorEastAsia" w:hAnsi="Times New Roma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theme="majorBidi" w:eastAsiaTheme="majorEastAsia" w:hAnsi="Times New Roma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theme="majorBidi" w:eastAsiaTheme="majorEastAsia" w:hAnsi="Times New Roman"/>
      <w:i/>
      <w:iCs/>
      <w:color w:themeTint="A6"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theme="majorBidi" w:eastAsiaTheme="majorEastAsia" w:hAnsi="Times New Roman"/>
      <w:color w:themeTint="A6"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theme="majorBidi" w:eastAsiaTheme="majorEastAsia" w:hAnsi="Times New Roman"/>
      <w:i/>
      <w:iCs/>
      <w:color w:themeTint="D8"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theme="majorBidi" w:eastAsiaTheme="majorEastAsia" w:hAnsi="Times New Roman"/>
      <w:color w:themeTint="D8"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theme="majorBidi" w:eastAsiaTheme="majorEastAsia" w:hAnsi="Times New Roman"/>
      <w:color w:val="0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theme="majorBidi" w:eastAsiaTheme="majorEastAsia" w:hAnsi="Times New Roman"/>
      <w:color w:val="000000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theme="majorBidi" w:eastAsiaTheme="majorEastAsia" w:hAnsi="Times New Roman"/>
      <w:color w:val="000000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theme="majorBidi" w:eastAsiaTheme="majorEastAsia" w:hAnsi="Times New Roman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theme="majorBidi" w:eastAsiaTheme="majorEastAsia" w:hAnsi="Times New Roman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theme="majorBidi" w:eastAsiaTheme="majorEastAsia" w:hAnsi="Times New Roman"/>
      <w:i/>
      <w:iCs/>
      <w:color w:themeTint="A6"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theme="majorBidi" w:eastAsiaTheme="majorEastAsia" w:hAnsi="Times New Roman"/>
      <w:color w:themeTint="A6"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theme="majorBidi" w:eastAsiaTheme="majorEastAsia" w:hAnsi="Times New Roman"/>
      <w:i/>
      <w:iCs/>
      <w:color w:themeTint="D8"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theme="majorBidi" w:eastAsiaTheme="majorEastAsia" w:hAnsi="Times New Roman"/>
      <w:color w:themeTint="D8"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tcPr>
        <w:tcBorders>
          <w:bottom w:color="auto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theme="majorBidi" w:eastAsiaTheme="majorEastAsia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oi.org/10.1371/journal.pmed.004029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oi.org/10.1371/journal.pmed.004029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Multimedia Appendix 2. STROBE checklist. Early Renewal of Accountable Care Organization Agreements to Reset Benchmarks in the Medicare Shared Savings Program: Preregistered Retrospective Cohort Study</dc:title>
  <dc:creator>Samuel Thomas Harrold</dc:creator>
  <dc:language>en-US</dc:language>
  <cp:keywords/>
  <dcterms:created xsi:type="dcterms:W3CDTF">2026-10-28T14:53:53Z</dcterms:created>
  <dcterms:modified xsi:type="dcterms:W3CDTF">2026-10-28T14:53:53Z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citecolor">
    <vt:lpwstr>blue</vt:lpwstr>
  </property>
  <property fmtid="{D5CDD505-2E9C-101B-9397-08002B2CF9AE}" pid="4" name="colorlinks">
    <vt:lpwstr>True</vt:lpwstr>
  </property>
  <property fmtid="{D5CDD505-2E9C-101B-9397-08002B2CF9AE}" pid="5" name="csl">
    <vt:lpwstr>citation-style-ama.csl</vt:lpwstr>
  </property>
  <property fmtid="{D5CDD505-2E9C-101B-9397-08002B2CF9AE}" pid="6" name="date">
    <vt:lpwstr>October 2026</vt:lpwstr>
  </property>
  <property fmtid="{D5CDD505-2E9C-101B-9397-08002B2CF9AE}" pid="7" name="documentclass">
    <vt:lpwstr>article</vt:lpwstr>
  </property>
  <property fmtid="{D5CDD505-2E9C-101B-9397-08002B2CF9AE}" pid="8" name="fontsize">
    <vt:lpwstr>11pt</vt:lpwstr>
  </property>
  <property fmtid="{D5CDD505-2E9C-101B-9397-08002B2CF9AE}" pid="9" name="footer-center">
    <vt:lpwstr/>
  </property>
  <property fmtid="{D5CDD505-2E9C-101B-9397-08002B2CF9AE}" pid="10" name="footer-left">
    <vt:lpwstr>CC BY 4.0</vt:lpwstr>
  </property>
  <property fmtid="{D5CDD505-2E9C-101B-9397-08002B2CF9AE}" pid="11" name="footer-right">
    <vt:lpwstr/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header-left">
    <vt:lpwstr>Early renewal in the Medicare Shared Savings Program</vt:lpwstr>
  </property>
  <property fmtid="{D5CDD505-2E9C-101B-9397-08002B2CF9AE}" pid="15" name="header-right">
    <vt:lpwstr>October 2026</vt:lpwstr>
  </property>
  <property fmtid="{D5CDD505-2E9C-101B-9397-08002B2CF9AE}" pid="16" name="include-before">
    <vt:lpwstr/>
  </property>
  <property fmtid="{D5CDD505-2E9C-101B-9397-08002B2CF9AE}" pid="17" name="linestretch">
    <vt:lpwstr>1.3</vt:lpwstr>
  </property>
  <property fmtid="{D5CDD505-2E9C-101B-9397-08002B2CF9AE}" pid="18" name="link-bibliography">
    <vt:lpwstr>True</vt:lpwstr>
  </property>
  <property fmtid="{D5CDD505-2E9C-101B-9397-08002B2CF9AE}" pid="19" name="link-citations">
    <vt:lpwstr>True</vt:lpwstr>
  </property>
  <property fmtid="{D5CDD505-2E9C-101B-9397-08002B2CF9AE}" pid="20" name="linkcolor">
    <vt:lpwstr>blue</vt:lpwstr>
  </property>
  <property fmtid="{D5CDD505-2E9C-101B-9397-08002B2CF9AE}" pid="21" name="mainfont">
    <vt:lpwstr>lmroman10-regular.otf</vt:lpwstr>
  </property>
  <property fmtid="{D5CDD505-2E9C-101B-9397-08002B2CF9AE}" pid="22" name="mainfontoptions">
    <vt:lpwstr/>
  </property>
  <property fmtid="{D5CDD505-2E9C-101B-9397-08002B2CF9AE}" pid="23" name="monofont">
    <vt:lpwstr>lmmono10-regular.otf</vt:lpwstr>
  </property>
  <property fmtid="{D5CDD505-2E9C-101B-9397-08002B2CF9AE}" pid="24" name="numbersections">
    <vt:lpwstr>False</vt:lpwstr>
  </property>
  <property fmtid="{D5CDD505-2E9C-101B-9397-08002B2CF9AE}" pid="25" name="papersize">
    <vt:lpwstr>letter</vt:lpwstr>
  </property>
  <property fmtid="{D5CDD505-2E9C-101B-9397-08002B2CF9AE}" pid="26" name="prevent-widows">
    <vt:lpwstr>True</vt:lpwstr>
  </property>
  <property fmtid="{D5CDD505-2E9C-101B-9397-08002B2CF9AE}" pid="27" name="sansfont">
    <vt:lpwstr>lmsans10-regular.otf</vt:lpwstr>
  </property>
  <property fmtid="{D5CDD505-2E9C-101B-9397-08002B2CF9AE}" pid="28" name="sansfontoptions">
    <vt:lpwstr/>
  </property>
  <property fmtid="{D5CDD505-2E9C-101B-9397-08002B2CF9AE}" pid="29" name="table-use-row-colors">
    <vt:lpwstr>False</vt:lpwstr>
  </property>
  <property fmtid="{D5CDD505-2E9C-101B-9397-08002B2CF9AE}" pid="30" name="titlepage">
    <vt:lpwstr>False</vt:lpwstr>
  </property>
  <property fmtid="{D5CDD505-2E9C-101B-9397-08002B2CF9AE}" pid="31" name="toc">
    <vt:lpwstr>False</vt:lpwstr>
  </property>
  <property fmtid="{D5CDD505-2E9C-101B-9397-08002B2CF9AE}" pid="32" name="urlcolor">
    <vt:lpwstr>blue</vt:lpwstr>
  </property>
</Properties>
</file>