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Additional file 1. STROBE checklist. Early renewal of accountable care organization agreements to reset benchmarks in the Medicare Shared Savings Program: a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Items of the STROBE statement for cohort studies,</w:t>
      </w:r>
      <w:r>
        <w:t xml:space="preserve">[</w:t>
      </w:r>
      <w:hyperlink w:anchor="ref-vonelm2007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with the place each is reported in the manuscript or in Additional file 2 (eTables and eMethods).</w:t>
      </w:r>
    </w:p>
    <w:p>
      <w:pPr>
        <w:pStyle w:val="TableCaption"/>
      </w:pPr>
      <w:r>
        <w:t xml:space="preserve">STROBE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ROBE checklist"/>
      </w:tblPr>
      <w:tblGrid>
        <w:gridCol w:w="2901"/>
        <w:gridCol w:w="650"/>
        <w:gridCol w:w="2785"/>
        <w:gridCol w:w="30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 (abbreviated)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design; give an informative, balanced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 (preregistered retrospective cohort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Background/rationale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Background, paragraphs 1-4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objectives and prespecified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Background, paragraph 5; Methods,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elements of the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dates of recruitment, exposure, follow-up, 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Population and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criteria, sources and methods of selection;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Groups; 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outcomes, exposures, predictors, confounders, effect 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sources/measurement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and methods of measurement; 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Variables (Validation Before Use); eTable 1; eTable 13 (post hoc, change scale)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 (outcome lock), Statistical Analysis (equivalence condition); 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 (all eligible ACOs); Power; eTable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quantitative variables were handled; groupings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Statistical Analysis (scaling by 2 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Statistical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statistical methods, including for confounding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for subgroups and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registered; single-cohort restrictions in eTables 3-4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missing data were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 (Suppressed Values);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loss to follow-up was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 (not yet renewed; balanced panel); eTable 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Covariate-Adjusted Estimates, Conventional Methods, and Robustness; eTables 3-6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Reasons for nonparticipation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Descriptive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participants; exposures and confounders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(group, cohort, track, case mix, savings rate, constructed variables); the H3 adjustment factors (size, revenue category, assignment method, agreement number) are not in the results files and are not tabulated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with missing data for each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1; Figure 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eTable 9 (mean included post-period years by group)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of outcome events or summary measures over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renewal: 29 of 306 compared ACOs (Table 1), 24 of 206 in H3 (Table 3); spending over time: eTable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Unadjusted and 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2-3; Figures 2-4; eTables 3, 6, 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boundaries for continuous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(continuous variables not categorized)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 of relative risk into absolute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(odds multiplier; dollar translation); eTable 5 (observed and predicted shares by decile)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analyses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Subgroups, interactions and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Results, Robustness and Conventional Methods; eTables 3-12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 key results with reference to objectives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Principal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potential bias or imprecision; direction and magnitude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overall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Implications (2024 rules);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 and role of funders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</w:tr>
    </w:tbl>
    <w:bookmarkStart w:id="12" w:name="references"/>
    <w:p>
      <w:pPr>
        <w:pStyle w:val="Heading1"/>
      </w:pPr>
      <w:r>
        <w:t xml:space="preserve">References</w:t>
      </w:r>
    </w:p>
    <w:bookmarkStart w:id="11" w:name="refs"/>
    <w:bookmarkStart w:id="10" w:name="ref-vonelm2007"/>
    <w:p>
      <w:pPr>
        <w:pStyle w:val="Bibliography"/>
      </w:pPr>
      <w:r>
        <w:t xml:space="preserve">1. von Elm E, Altman DG, Egger M, Pocock SJ, Gøtzsche PC, Vandenbroucke JP, et al. The Strengthening the Reporting of Observational Studies in Epidemiology (STROBE) Statement: Guidelines for Reporting Observational Studies. PLoS Medicine. 2007;4:e296.</w:t>
      </w:r>
      <w:r>
        <w:t xml:space="preserve"> </w:t>
      </w:r>
      <w:hyperlink r:id="rId9">
        <w:r>
          <w:rPr>
            <w:rStyle w:val="Hyperlink"/>
          </w:rPr>
          <w:t xml:space="preserve">https://doi.org/10.1371/journal.pmed.0040296</w:t>
        </w:r>
      </w:hyperlink>
      <w:r>
        <w:t xml:space="preserve">.</w:t>
      </w:r>
    </w:p>
    <w:bookmarkEnd w:id="10"/>
    <w:bookmarkEnd w:id="11"/>
    <w:bookmarkEnd w:id="12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240" w:lineRule="auto"/>
    </w:pPr>
    <w:rPr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371/journal.pmed.00402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371/journal.pmed.00402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Additional file 1. STROBE checklist. Early renewal of accountable care organization agreements to reset benchmarks in the Medicare Shared Savings Program: a preregistered retrospective cohort study</dc:title>
  <dc:creator>Samuel Thomas Harrold</dc:creator>
  <dc:language>en-US</dc:language>
  <cp:keywords/>
  <dcterms:created xsi:type="dcterms:W3CDTF">2026-10-30T03:45:08Z</dcterms:created>
  <dcterms:modified xsi:type="dcterms:W3CDTF">2026-10-30T03:45:08Z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citation-style-bmc.csl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