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Additional file 2. 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Spending growth after early renewal (H4), with the pre-trend and robustness estimates</w:t>
      </w:r>
    </w:p>
    <w:p>
      <w:pPr>
        <w:pStyle w:val="Compact"/>
        <w:numPr>
          <w:ilvl w:val="0"/>
          <w:numId w:val="1001"/>
        </w:numPr>
      </w:pPr>
      <w:r>
        <w:t xml:space="preserve">eTable 9. Attrition from the H4 spending panel</w:t>
      </w:r>
    </w:p>
    <w:p>
      <w:pPr>
        <w:pStyle w:val="Compact"/>
        <w:numPr>
          <w:ilvl w:val="0"/>
          <w:numId w:val="1001"/>
        </w:numPr>
      </w:pPr>
      <w:r>
        <w:t xml:space="preserve">eTable 10. Exploratory analyses</w:t>
      </w:r>
    </w:p>
    <w:p>
      <w:pPr>
        <w:pStyle w:val="Compact"/>
        <w:numPr>
          <w:ilvl w:val="0"/>
          <w:numId w:val="1001"/>
        </w:numPr>
      </w:pPr>
      <w:r>
        <w:t xml:space="preserve">eTable 11. The 2 early renewers already in ENHANCED</w:t>
      </w:r>
    </w:p>
    <w:p>
      <w:pPr>
        <w:pStyle w:val="Compact"/>
        <w:numPr>
          <w:ilvl w:val="0"/>
          <w:numId w:val="1001"/>
        </w:numPr>
      </w:pPr>
      <w:r>
        <w:t xml:space="preserve">eTable 12. Per-capita spending by agreement year</w:t>
      </w:r>
    </w:p>
    <w:p>
      <w:pPr>
        <w:pStyle w:val="Compact"/>
        <w:numPr>
          <w:ilvl w:val="0"/>
          <w:numId w:val="1001"/>
        </w:numPr>
      </w:pPr>
      <w:r>
        <w:t xml:space="preserve">eTable 13. Post hoc checks against CMS’s published 2022 benchmarks and of the regional pull against past savings (not registered)</w:t>
      </w:r>
    </w:p>
    <w:p>
      <w:pPr>
        <w:pStyle w:val="Compact"/>
        <w:numPr>
          <w:ilvl w:val="0"/>
          <w:numId w:val="1001"/>
        </w:numPr>
      </w:pPr>
      <w:r>
        <w:t xml:space="preserve">eMethods. Registration record (eTable 14) and deviations</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2915"/>
        <w:gridCol w:w="987"/>
        <w:gridCol w:w="1338"/>
        <w:gridCol w:w="1610"/>
        <w:gridCol w:w="910"/>
        <w:gridCol w:w="1600"/>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2336"/>
        <w:gridCol w:w="2967"/>
        <w:gridCol w:w="2076"/>
        <w:gridCol w:w="1981"/>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 α =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pct" w:w="5000"/>
        <w:tblLayout w:type="fixed"/>
        <w:tblLook w:firstRow="1" w:lastRow="0" w:firstColumn="0" w:lastColumn="0" w:noHBand="0" w:noVBand="0" w:val="0020"/>
        <w:tblCaption w:val="eTable 3. Robustness of the group comparisons"/>
      </w:tblPr>
      <w:tblGrid>
        <w:gridCol w:w="5203"/>
        <w:gridCol w:w="1560"/>
        <w:gridCol w:w="1687"/>
        <w:gridCol w:w="91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pct" w:w="5000"/>
        <w:tblLayout w:type="fixed"/>
        <w:tblLook w:firstRow="1" w:lastRow="0" w:firstColumn="0" w:lastColumn="0" w:noHBand="0" w:noVBand="0" w:val="0020"/>
        <w:tblCaption w:val="eTable 4. Robustness of the decision model (H3)"/>
      </w:tblPr>
      <w:tblGrid>
        <w:gridCol w:w="5013"/>
        <w:gridCol w:w="1690"/>
        <w:gridCol w:w="1877"/>
        <w:gridCol w:w="7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6807"/>
        <w:gridCol w:w="2553"/>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=.004</w:t>
            </w:r>
          </w:p>
        </w:tc>
      </w:tr>
    </w:tbl>
    <w:p/>
    <w:p>
      <w:pPr>
        <w:pStyle w:val="TableCaption"/>
      </w:pPr>
      <w:r>
        <w:t xml:space="preserve">eTable 6. Conventional (frequentist) counterparts</w:t>
      </w:r>
    </w:p>
    <w:tbl>
      <w:tblPr>
        <w:tblStyle w:val="Table"/>
        <w:tblW w:type="pct" w:w="5000"/>
        <w:tblLayout w:type="fixed"/>
        <w:tblLook w:firstRow="1" w:lastRow="0" w:firstColumn="0" w:lastColumn="0" w:noHBand="0" w:noVBand="0" w:val="0020"/>
        <w:tblCaption w:val="eTable 6. Conventional (frequentist) counterparts"/>
      </w:tblPr>
      <w:tblGrid>
        <w:gridCol w:w="3087"/>
        <w:gridCol w:w="2736"/>
        <w:gridCol w:w="1300"/>
        <w:gridCol w:w="1456"/>
        <w:gridCol w:w="781"/>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pct" w:w="5000"/>
        <w:tblLayout w:type="fixed"/>
        <w:tblLook w:firstRow="1" w:lastRow="0" w:firstColumn="0" w:lastColumn="0" w:noHBand="0" w:noVBand="0" w:val="0020"/>
        <w:tblCaption w:val="eTable 7. Agreement of registered and conventional verdicts"/>
      </w:tblPr>
      <w:tblGrid>
        <w:gridCol w:w="3375"/>
        <w:gridCol w:w="2418"/>
        <w:gridCol w:w="2657"/>
        <w:gridCol w:w="91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Spending growth after early renewal (H4), with the pre-trend and robustness estimates</w:t>
      </w:r>
    </w:p>
    <w:tbl>
      <w:tblPr>
        <w:tblStyle w:val="Table"/>
        <w:tblW w:type="pct" w:w="5000"/>
        <w:tblLayout w:type="fixed"/>
        <w:tblLook w:firstRow="1" w:lastRow="0" w:firstColumn="0" w:lastColumn="0" w:noHBand="0" w:noVBand="0" w:val="0020"/>
        <w:tblCaption w:val="eTable 8. Spending growth after early renewal (H4), with the pre-trend and robustness estimates"/>
      </w:tblPr>
      <w:tblGrid>
        <w:gridCol w:w="3942"/>
        <w:gridCol w:w="1963"/>
        <w:gridCol w:w="1735"/>
        <w:gridCol w:w="1069"/>
        <w:gridCol w:w="651"/>
      </w:tblGrid>
      <w:tr>
        <w:trPr>
          <w:tblHeader w:val="on"/>
        </w:trPr>
        <w:tc>
          <w:tcPr/>
          <w:p>
            <w:pPr>
              <w:pStyle w:val="Compact"/>
              <w:jc w:val="left"/>
            </w:pPr>
            <w:r>
              <w:t xml:space="preserve">Estimate</w:t>
            </w:r>
          </w:p>
        </w:tc>
        <w:tc>
          <w:tcPr/>
          <w:p>
            <w:pPr>
              <w:pStyle w:val="Compact"/>
              <w:jc w:val="right"/>
            </w:pPr>
            <w:r>
              <w:t xml:space="preserve">Early / comparison, No.</w:t>
            </w:r>
          </w:p>
        </w:tc>
        <w:tc>
          <w:tcPr/>
          <w:p>
            <w:pPr>
              <w:pStyle w:val="Compact"/>
              <w:jc w:val="right"/>
            </w:pPr>
            <w:r>
              <w:t xml:space="preserve">Difference, %</w:t>
            </w:r>
          </w:p>
        </w:tc>
        <w:tc>
          <w:tcPr/>
          <w:p>
            <w:pPr>
              <w:pStyle w:val="Compact"/>
              <w:jc w:val="right"/>
            </w:pPr>
            <w:r>
              <w:t xml:space="preserve">95% CrI</w:t>
            </w:r>
          </w:p>
        </w:tc>
        <w:tc>
          <w:tcPr/>
          <w:p>
            <w:pPr>
              <w:pStyle w:val="Compact"/>
              <w:jc w:val="right"/>
            </w:pPr>
            <w:r>
              <w:rPr>
                <w:i/>
                <w:iCs/>
              </w:rPr>
              <w:t xml:space="preserve">P</w:t>
            </w:r>
          </w:p>
        </w:tc>
      </w:tr>
      <w:tr>
        <w:tc>
          <w:tcPr/>
          <w:p>
            <w:pPr>
              <w:pStyle w:val="Compact"/>
              <w:jc w:val="left"/>
            </w:pPr>
            <w:r>
              <w:rPr>
                <w:b/>
                <w:bCs/>
              </w:rPr>
              <w:t xml:space="preserve">H4, difference-in-differences</w:t>
            </w:r>
          </w:p>
        </w:tc>
        <w:tc>
          <w:tcPr/>
          <w:p>
            <w:pPr>
              <w:pStyle w:val="Compact"/>
              <w:jc w:val="right"/>
            </w:pPr>
            <w:r>
              <w:rPr>
                <w:b/>
                <w:bCs/>
              </w:rPr>
              <w:t xml:space="preserve">29 / 276</w:t>
            </w:r>
          </w:p>
        </w:tc>
        <w:tc>
          <w:tcPr/>
          <w:p>
            <w:pPr>
              <w:pStyle w:val="Compact"/>
              <w:jc w:val="right"/>
            </w:pPr>
            <w:r>
              <w:rPr>
                <w:b/>
                <w:bCs/>
              </w:rPr>
              <w:t xml:space="preserve">−0.4</w:t>
            </w:r>
          </w:p>
        </w:tc>
        <w:tc>
          <w:tcPr/>
          <w:p>
            <w:pPr>
              <w:pStyle w:val="Compact"/>
              <w:jc w:val="right"/>
            </w:pPr>
            <w:r>
              <w:rPr>
                <w:b/>
                <w:bCs/>
              </w:rPr>
              <w:t xml:space="preserve">−4.0 to 2.5</w:t>
            </w:r>
          </w:p>
        </w:tc>
        <w:tc>
          <w:tcPr/>
          <w:p>
            <w:pPr>
              <w:pStyle w:val="Compact"/>
              <w:jc w:val="right"/>
            </w:pPr>
            <w:r>
              <w:rPr>
                <w:b/>
                <w:bCs/>
              </w:rPr>
              <w:t xml:space="preserve">.78</w:t>
            </w:r>
          </w:p>
        </w:tc>
      </w:tr>
      <w:tr>
        <w:tc>
          <w:tcPr/>
          <w:p>
            <w:pPr>
              <w:pStyle w:val="Compact"/>
              <w:jc w:val="left"/>
            </w:pPr>
            <w:r>
              <w:t xml:space="preserve">Pre-trend, PY2020 to PY2021</w:t>
            </w:r>
          </w:p>
        </w:tc>
        <w:tc>
          <w:tcPr/>
          <w:p>
            <w:pPr>
              <w:pStyle w:val="Compact"/>
              <w:jc w:val="right"/>
            </w:pPr>
            <w:r>
              <w:t xml:space="preserve">29 / 276</w:t>
            </w:r>
          </w:p>
        </w:tc>
        <w:tc>
          <w:tcPr/>
          <w:p>
            <w:pPr>
              <w:pStyle w:val="Compact"/>
              <w:jc w:val="right"/>
            </w:pPr>
            <w:r>
              <w:t xml:space="preserve">+0.7</w:t>
            </w:r>
          </w:p>
        </w:tc>
        <w:tc>
          <w:tcPr/>
          <w:p>
            <w:pPr>
              <w:pStyle w:val="Compact"/>
              <w:jc w:val="right"/>
            </w:pPr>
            <w:r>
              <w:t xml:space="preserve">−2.3 to 4.9</w:t>
            </w:r>
          </w:p>
        </w:tc>
        <w:tc>
          <w:tcPr/>
          <w:p>
            <w:pPr>
              <w:pStyle w:val="Compact"/>
              <w:jc w:val="right"/>
            </w:pPr>
            <w:r>
              <w:t xml:space="preserve">.58</w:t>
            </w:r>
          </w:p>
        </w:tc>
      </w:tr>
      <w:tr>
        <w:tc>
          <w:tcPr/>
          <w:p>
            <w:pPr>
              <w:pStyle w:val="Compact"/>
              <w:jc w:val="left"/>
            </w:pPr>
            <w:r>
              <w:t xml:space="preserve">Trend-adjusted</w:t>
            </w:r>
          </w:p>
        </w:tc>
        <w:tc>
          <w:tcPr/>
          <w:p>
            <w:pPr>
              <w:pStyle w:val="Compact"/>
              <w:jc w:val="right"/>
            </w:pPr>
            <w:r>
              <w:t xml:space="preserve">29 / 276</w:t>
            </w:r>
          </w:p>
        </w:tc>
        <w:tc>
          <w:tcPr/>
          <w:p>
            <w:pPr>
              <w:pStyle w:val="Compact"/>
              <w:jc w:val="right"/>
            </w:pPr>
            <w:r>
              <w:t xml:space="preserve">−4.0</w:t>
            </w:r>
          </w:p>
        </w:tc>
        <w:tc>
          <w:tcPr/>
          <w:p>
            <w:pPr>
              <w:pStyle w:val="Compact"/>
              <w:jc w:val="right"/>
            </w:pPr>
            <w:r>
              <w:t xml:space="preserve">−12.0 to 2.7</w:t>
            </w:r>
          </w:p>
        </w:tc>
        <w:tc>
          <w:tcPr/>
          <w:p>
            <w:pPr>
              <w:pStyle w:val="Compact"/>
              <w:jc w:val="right"/>
            </w:pPr>
            <w:r>
              <w:t xml:space="preserve">.14</w:t>
            </w:r>
          </w:p>
        </w:tc>
      </w:tr>
      <w:tr>
        <w:tc>
          <w:tcPr/>
          <w:p>
            <w:pPr>
              <w:pStyle w:val="Compact"/>
              <w:jc w:val="left"/>
            </w:pPr>
            <w:r>
              <w:t xml:space="preserve">Risk-adjusted outcome</w:t>
            </w:r>
          </w:p>
        </w:tc>
        <w:tc>
          <w:tcPr/>
          <w:p>
            <w:pPr>
              <w:pStyle w:val="Compact"/>
              <w:jc w:val="right"/>
            </w:pPr>
            <w:r>
              <w:t xml:space="preserve">29 / 276</w:t>
            </w:r>
          </w:p>
        </w:tc>
        <w:tc>
          <w:tcPr/>
          <w:p>
            <w:pPr>
              <w:pStyle w:val="Compact"/>
              <w:jc w:val="right"/>
            </w:pPr>
            <w:r>
              <w:t xml:space="preserve">+0.3</w:t>
            </w:r>
          </w:p>
        </w:tc>
        <w:tc>
          <w:tcPr/>
          <w:p>
            <w:pPr>
              <w:pStyle w:val="Compact"/>
              <w:jc w:val="right"/>
            </w:pPr>
            <w:r>
              <w:t xml:space="preserve">−2.0 to 2.5</w:t>
            </w:r>
          </w:p>
        </w:tc>
        <w:tc>
          <w:tcPr/>
          <w:p>
            <w:pPr>
              <w:pStyle w:val="Compact"/>
              <w:jc w:val="right"/>
            </w:pPr>
            <w:r>
              <w:t xml:space="preserve">.85</w:t>
            </w:r>
          </w:p>
        </w:tc>
      </w:tr>
      <w:tr>
        <w:tc>
          <w:tcPr/>
          <w:p>
            <w:pPr>
              <w:pStyle w:val="Compact"/>
              <w:jc w:val="left"/>
            </w:pPr>
            <w:r>
              <w:t xml:space="preserve">Balanced panel (all 5 years)</w:t>
            </w:r>
          </w:p>
        </w:tc>
        <w:tc>
          <w:tcPr/>
          <w:p>
            <w:pPr>
              <w:pStyle w:val="Compact"/>
              <w:jc w:val="right"/>
            </w:pPr>
            <w:r>
              <w:t xml:space="preserve">25 / 162</w:t>
            </w:r>
          </w:p>
        </w:tc>
        <w:tc>
          <w:tcPr/>
          <w:p>
            <w:pPr>
              <w:pStyle w:val="Compact"/>
              <w:jc w:val="right"/>
            </w:pPr>
            <w:r>
              <w:t xml:space="preserve">−1.6</w:t>
            </w:r>
          </w:p>
        </w:tc>
        <w:tc>
          <w:tcPr/>
          <w:p>
            <w:pPr>
              <w:pStyle w:val="Compact"/>
              <w:jc w:val="right"/>
            </w:pPr>
            <w:r>
              <w:t xml:space="preserve">−5.6 to 1.6</w:t>
            </w:r>
          </w:p>
        </w:tc>
        <w:tc>
          <w:tcPr/>
          <w:p>
            <w:pPr>
              <w:pStyle w:val="Compact"/>
              <w:jc w:val="right"/>
            </w:pPr>
            <w:r>
              <w:t xml:space="preserve">.30</w:t>
            </w:r>
          </w:p>
        </w:tc>
      </w:tr>
      <w:tr>
        <w:tc>
          <w:tcPr/>
          <w:p>
            <w:pPr>
              <w:pStyle w:val="Compact"/>
              <w:jc w:val="left"/>
            </w:pPr>
            <w:r>
              <w:t xml:space="preserve">Propensity-weighted</w:t>
            </w:r>
          </w:p>
        </w:tc>
        <w:tc>
          <w:tcPr/>
          <w:p>
            <w:pPr>
              <w:pStyle w:val="Compact"/>
              <w:jc w:val="right"/>
            </w:pPr>
            <w:r>
              <w:t xml:space="preserve">305 total</w:t>
            </w:r>
          </w:p>
        </w:tc>
        <w:tc>
          <w:tcPr/>
          <w:p>
            <w:pPr>
              <w:pStyle w:val="Compact"/>
              <w:jc w:val="right"/>
            </w:pPr>
            <w:r>
              <w:t xml:space="preserve">−0.5</w:t>
            </w:r>
          </w:p>
        </w:tc>
        <w:tc>
          <w:tcPr/>
          <w:p>
            <w:pPr>
              <w:pStyle w:val="Compact"/>
              <w:jc w:val="right"/>
            </w:pPr>
            <w:r>
              <w:t xml:space="preserve">NA</w:t>
            </w:r>
          </w:p>
        </w:tc>
        <w:tc>
          <w:tcPr/>
          <w:p>
            <w:pPr>
              <w:pStyle w:val="Compact"/>
              <w:jc w:val="right"/>
            </w:pPr>
            <w:r>
              <w:t xml:space="preserve">.67</w:t>
            </w:r>
          </w:p>
        </w:tc>
      </w:tr>
      <w:tr>
        <w:tc>
          <w:tcPr/>
          <w:p>
            <w:pPr>
              <w:pStyle w:val="Compact"/>
              <w:jc w:val="left"/>
            </w:pPr>
            <w:r>
              <w:t xml:space="preserve">2020-01-01 cohort only</w:t>
            </w:r>
          </w:p>
        </w:tc>
        <w:tc>
          <w:tcPr/>
          <w:p>
            <w:pPr>
              <w:pStyle w:val="Compact"/>
              <w:jc w:val="right"/>
            </w:pPr>
            <w:r>
              <w:t xml:space="preserve">18 / 118</w:t>
            </w:r>
          </w:p>
        </w:tc>
        <w:tc>
          <w:tcPr/>
          <w:p>
            <w:pPr>
              <w:pStyle w:val="Compact"/>
              <w:jc w:val="right"/>
            </w:pPr>
            <w:r>
              <w:t xml:space="preserve">−2.9</w:t>
            </w:r>
          </w:p>
        </w:tc>
        <w:tc>
          <w:tcPr/>
          <w:p>
            <w:pPr>
              <w:pStyle w:val="Compact"/>
              <w:jc w:val="right"/>
            </w:pPr>
            <w:r>
              <w:t xml:space="preserve">−8.3 to 1.3</w:t>
            </w:r>
          </w:p>
        </w:tc>
        <w:tc>
          <w:tcPr/>
          <w:p>
            <w:pPr>
              <w:pStyle w:val="Compact"/>
              <w:jc w:val="right"/>
            </w:pPr>
            <w:r>
              <w:t xml:space="preserve">.13</w:t>
            </w:r>
          </w:p>
        </w:tc>
      </w:tr>
      <w:tr>
        <w:tc>
          <w:tcPr/>
          <w:p>
            <w:pPr>
              <w:pStyle w:val="Compact"/>
              <w:jc w:val="left"/>
            </w:pPr>
            <w:r>
              <w:t xml:space="preserve">Two-way fixed effects (conventional; 95% CI)</w:t>
            </w:r>
          </w:p>
        </w:tc>
        <w:tc>
          <w:tcPr/>
          <w:p>
            <w:pPr>
              <w:pStyle w:val="Compact"/>
              <w:jc w:val="right"/>
            </w:pPr>
            <w:r>
              <w:t xml:space="preserve">306 ACOs</w:t>
            </w:r>
          </w:p>
        </w:tc>
        <w:tc>
          <w:tcPr/>
          <w:p>
            <w:pPr>
              <w:pStyle w:val="Compact"/>
              <w:jc w:val="right"/>
            </w:pPr>
            <w:r>
              <w:t xml:space="preserve">−1.5</w:t>
            </w:r>
          </w:p>
        </w:tc>
        <w:tc>
          <w:tcPr/>
          <w:p>
            <w:pPr>
              <w:pStyle w:val="Compact"/>
              <w:jc w:val="right"/>
            </w:pPr>
            <w:r>
              <w:t xml:space="preserve">−5.4 to 2.4</w:t>
            </w:r>
          </w:p>
        </w:tc>
        <w:tc>
          <w:tcPr/>
          <w:p>
            <w:pPr>
              <w:pStyle w:val="Compact"/>
              <w:jc w:val="right"/>
            </w:pPr>
            <w:r>
              <w:t xml:space="preserve">.44</w:t>
            </w:r>
          </w:p>
        </w:tc>
      </w:tr>
    </w:tbl>
    <w:p>
      <w:pPr>
        <w:pStyle w:val="BodyText"/>
      </w:pPr>
      <w:r>
        <w:t xml:space="preserve">Abbreviations: CrI, credible interval; NA, not available (the propensity-weighted estimate has a permutation P value but no interval; its largest weight is 0.83); PY, performance year. The outcome is the change in log per-capita spending from PY2020-PY2021 to PY2022-PY2024, shown as a percent difference in spending growth, early renewers minus ACOs not yet renewed. A stayer’s years after it renewed into a 2023 or 2024 agreement are excluded. Equivalence condition: the pre-trend bound scaled to the distance between period midpoints (2.41 years) is 11.5 log points, above the absolute H4 estimate of 0.4 log points (1 log point = 0.01 in log spending, about 1%), so the condition does not hold and H4 is not read as an effect. The two-way fixed-effects model has one more ACO: the stayer with no post-period spending value keeps its pre-period years.</w:t>
      </w:r>
    </w:p>
    <w:p>
      <w:pPr>
        <w:pStyle w:val="TableCaption"/>
      </w:pPr>
      <w:r>
        <w:t xml:space="preserve">eTable 9. Attrition from the H4 spending panel, by group and year</w:t>
      </w:r>
    </w:p>
    <w:tbl>
      <w:tblPr>
        <w:tblStyle w:val="Table"/>
        <w:tblW w:type="pct" w:w="5000"/>
        <w:tblLayout w:type="fixed"/>
        <w:tblLook w:firstRow="1" w:lastRow="0" w:firstColumn="0" w:lastColumn="0" w:noHBand="0" w:noVBand="0" w:val="0020"/>
        <w:tblCaption w:val="eTable 9. Attrition from the H4 spending panel, by group and year"/>
      </w:tblPr>
      <w:tblGrid>
        <w:gridCol w:w="6240"/>
        <w:gridCol w:w="1040"/>
        <w:gridCol w:w="1040"/>
        <w:gridCol w:w="104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10. Exploratory analyses</w:t>
      </w:r>
    </w:p>
    <w:tbl>
      <w:tblPr>
        <w:tblStyle w:val="Table"/>
        <w:tblW w:type="pct" w:w="5000"/>
        <w:tblLayout w:type="fixed"/>
        <w:tblLook w:firstRow="1" w:lastRow="0" w:firstColumn="0" w:lastColumn="0" w:noHBand="0" w:noVBand="0" w:val="0020"/>
        <w:tblCaption w:val="eTable 10. Exploratory analyses"/>
      </w:tblPr>
      <w:tblGrid>
        <w:gridCol w:w="6249"/>
        <w:gridCol w:w="1300"/>
        <w:gridCol w:w="1811"/>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11. The 2 early renewers already in ENHANCED</w:t>
      </w:r>
    </w:p>
    <w:tbl>
      <w:tblPr>
        <w:tblStyle w:val="Table"/>
        <w:tblW w:type="pct" w:w="5000"/>
        <w:tblLayout w:type="fixed"/>
        <w:tblLook w:firstRow="1" w:lastRow="0" w:firstColumn="0" w:lastColumn="0" w:noHBand="0" w:noVBand="0" w:val="0020"/>
        <w:tblCaption w:val="eTable 11. The 2 early renewers already in ENHANCED"/>
      </w:tblPr>
      <w:tblGrid>
        <w:gridCol w:w="3467"/>
        <w:gridCol w:w="2947"/>
        <w:gridCol w:w="2946"/>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12. Per-capita spending by agreement year</w:t>
      </w:r>
    </w:p>
    <w:tbl>
      <w:tblPr>
        <w:tblStyle w:val="Table"/>
        <w:tblW w:type="pct" w:w="5000"/>
        <w:tblLayout w:type="fixed"/>
        <w:tblLook w:firstRow="1" w:lastRow="0" w:firstColumn="0" w:lastColumn="0" w:noHBand="0" w:noVBand="0" w:val="0020"/>
        <w:tblCaption w:val="eTable 12. Per-capita spending by agreement year"/>
      </w:tblPr>
      <w:tblGrid>
        <w:gridCol w:w="1629"/>
        <w:gridCol w:w="1596"/>
        <w:gridCol w:w="1930"/>
        <w:gridCol w:w="1499"/>
        <w:gridCol w:w="1043"/>
        <w:gridCol w:w="1663"/>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13. Post hoc checks of the expected gain against CMS’s published 2022 benchmarks, and of the regional pull against past savings</w:t>
      </w:r>
    </w:p>
    <w:tbl>
      <w:tblPr>
        <w:tblStyle w:val="Table"/>
        <w:tblW w:type="pct" w:w="5000"/>
        <w:tblLayout w:type="fixed"/>
        <w:tblLook w:firstRow="1" w:lastRow="0" w:firstColumn="0" w:lastColumn="0" w:noHBand="0" w:noVBand="0" w:val="0020"/>
        <w:tblCaption w:val="eTable 13. Post hoc checks of the expected gain against CMS’s published 2022 benchmarks, and of the regional pull against past savings"/>
      </w:tblPr>
      <w:tblGrid>
        <w:gridCol w:w="2151"/>
        <w:gridCol w:w="988"/>
        <w:gridCol w:w="1339"/>
        <w:gridCol w:w="1553"/>
        <w:gridCol w:w="1007"/>
        <w:gridCol w:w="877"/>
        <w:gridCol w:w="1445"/>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 ρ</w:t>
            </w:r>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=.97). Regional pull and past savings (267 early renewers and stayers with the variable): Spearman ρ 0.45 with the PY2020 savings rate, 0.23 with the PY2021 savings rate and −0.25 with the own-spending component (stayers alone: 0.42, 0.23 and −0.25).</w:t>
      </w:r>
    </w:p>
    <w:bookmarkStart w:id="10" w:name="Xbb380d809b2723f99c0f38291f5ada62d815562"/>
    <w:p>
      <w:pPr>
        <w:pStyle w:val="Heading1"/>
      </w:pPr>
      <w:r>
        <w:t xml:space="preserve">eMethods. Registration record and deviations</w:t>
      </w:r>
    </w:p>
    <w:p>
      <w:pPr>
        <w:pStyle w:val="TableCaption"/>
      </w:pPr>
      <w:r>
        <w:t xml:space="preserve">eTable 14. Registration record</w:t>
      </w:r>
    </w:p>
    <w:tbl>
      <w:tblPr>
        <w:tblStyle w:val="Table"/>
        <w:tblW w:type="pct" w:w="5000"/>
        <w:tblLayout w:type="fixed"/>
        <w:tblLook w:firstRow="1" w:lastRow="0" w:firstColumn="0" w:lastColumn="0" w:noHBand="0" w:noVBand="0" w:val="0020"/>
        <w:tblCaption w:val="eTable 14. Registration record"/>
      </w:tblPr>
      <w:tblGrid>
        <w:gridCol w:w="1440"/>
        <w:gridCol w:w="792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8" w:name="references"/>
    <w:p>
      <w:pPr>
        <w:pStyle w:val="Heading1"/>
      </w:pPr>
      <w:r>
        <w:t xml:space="preserve">References</w:t>
      </w:r>
    </w:p>
    <w:bookmarkStart w:id="17" w:name="refs"/>
    <w:bookmarkStart w:id="12" w:name="ref-registration"/>
    <w:p>
      <w:pPr>
        <w:pStyle w:val="Bibliography"/>
      </w:pPr>
      <w:r>
        <w:t xml:space="preserve">1.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1">
        <w:r>
          <w:rPr>
            <w:rStyle w:val="Hyperlink"/>
          </w:rPr>
          <w:t xml:space="preserve">https://doi.org/10.17605/OSF.IO/C53W9</w:t>
        </w:r>
      </w:hyperlink>
      <w:r>
        <w:t xml:space="preserve">.</w:t>
      </w:r>
    </w:p>
    <w:bookmarkEnd w:id="12"/>
    <w:bookmarkStart w:id="14" w:name="ref-osfproject"/>
    <w:p>
      <w:pPr>
        <w:pStyle w:val="Bibliography"/>
      </w:pPr>
      <w:r>
        <w:t xml:space="preserve">2.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2026.</w:t>
      </w:r>
      <w:r>
        <w:t xml:space="preserve"> </w:t>
      </w:r>
      <w:hyperlink r:id="rId13">
        <w:r>
          <w:rPr>
            <w:rStyle w:val="Hyperlink"/>
          </w:rPr>
          <w:t xml:space="preserve">https://doi.org/10.17605/OSF.IO/Z4AN5</w:t>
        </w:r>
      </w:hyperlink>
      <w:r>
        <w:t xml:space="preserve">.</w:t>
      </w:r>
    </w:p>
    <w:bookmarkEnd w:id="14"/>
    <w:bookmarkStart w:id="16" w:name="ref-frpathways"/>
    <w:p>
      <w:pPr>
        <w:pStyle w:val="Bibliography"/>
      </w:pPr>
      <w:r>
        <w:t xml:space="preserve">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5">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6"/>
    <w:bookmarkEnd w:id="17"/>
    <w:bookmarkEnd w:id="18"/>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7605/OSF.IO/C53W9" TargetMode="External" /><Relationship Type="http://schemas.openxmlformats.org/officeDocument/2006/relationships/hyperlink" Id="rId13"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5"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Additional file 2. 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2026-10-30T03:45:02Z</dcterms:created>
  <dcterms:modified xsi:type="dcterms:W3CDTF">2026-10-30T03:45:02Z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