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1. Why did Medicare ACOs reset their benchmarks early? A pre-registered analysis of early renewal in the Medicare Shared Savings Program</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eMethods. Registration record (eTable 12) and deviations</w:t>
      </w:r>
    </w:p>
    <w:p>
      <w:pPr>
        <w:pStyle w:val="Compact"/>
        <w:numPr>
          <w:ilvl w:val="0"/>
          <w:numId w:val="1001"/>
        </w:numPr>
      </w:pPr>
      <w:r>
        <w:t xml:space="preserve">STROBE checklist</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w:t>
            </w:r>
            <w:r>
              <w:t xml:space="preserve"> </w:t>
            </w:r>
            <m:oMath>
              <m:r>
                <m:t>ρ</m:t>
              </m:r>
            </m:oMath>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w:t>
      </w:r>
      <w:r>
        <w:t xml:space="preserve"> </w:t>
      </w:r>
      <m:oMath>
        <m:r>
          <m:t>α</m:t>
        </m:r>
      </m:oMath>
      <w:r>
        <w:t xml:space="preserve"> </w:t>
      </w:r>
      <w:r>
        <w:t xml:space="preserve">=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bookmarkStart w:id="10" w:name="Xbb380d809b2723f99c0f38291f5ada62d815562"/>
    <w:p>
      <w:pPr>
        <w:pStyle w:val="Heading1"/>
      </w:pPr>
      <w:r>
        <w:t xml:space="preserve">eMethods. Registration record and deviations</w:t>
      </w:r>
    </w:p>
    <w:p>
      <w:pPr>
        <w:pStyle w:val="TableCaption"/>
      </w:pPr>
      <w:r>
        <w:t xml:space="preserve">eTable 12. Registration record</w:t>
      </w:r>
    </w:p>
    <w:tbl>
      <w:tblPr>
        <w:tblStyle w:val="Table"/>
        <w:tblW w:type="pct" w:w="5000"/>
        <w:tblLayout w:type="fixed"/>
        <w:tblLook w:firstRow="1" w:lastRow="0" w:firstColumn="0" w:lastColumn="0" w:noHBand="0" w:noVBand="0" w:val="0020"/>
        <w:tblCaption w:val="eTable 12.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1" w:name="strobe-checklist"/>
    <w:p>
      <w:pPr>
        <w:pStyle w:val="Heading1"/>
      </w:pPr>
      <w:r>
        <w:t xml:space="preserve">STROBE checklist</w:t>
      </w:r>
    </w:p>
    <w:p>
      <w:pPr>
        <w:pStyle w:val="FirstParagraph"/>
      </w:pPr>
      <w:r>
        <w:t xml:space="preserve">Items of the STROBE statement for cohort studies,</w:t>
      </w:r>
      <w:r>
        <w:t xml:space="preserve">[</w:t>
      </w:r>
      <w:hyperlink w:anchor="ref-vonelm2007">
        <w:r>
          <w:rPr>
            <w:rStyle w:val="Hyperlink"/>
          </w:rPr>
          <w:t xml:space="preserve">4</w:t>
        </w:r>
      </w:hyperlink>
      <w:r>
        <w:t xml:space="preserve">]</w:t>
      </w:r>
      <w:r>
        <w:t xml:space="preserve"> </w:t>
      </w:r>
      <w:r>
        <w:t xml:space="preserve">with the place each is reported.</w:t>
      </w:r>
      <w:r>
        <w:t xml:space="preserve"> </w:t>
      </w:r>
      <w:r>
        <w:t xml:space="preserve">“Supplement”</w:t>
      </w:r>
      <w:r>
        <w:t xml:space="preserve"> </w:t>
      </w:r>
      <w:r>
        <w:t xml:space="preserve">refers</w:t>
      </w:r>
      <w:r>
        <w:t xml:space="preserve"> </w:t>
      </w:r>
      <w:r>
        <w:t xml:space="preserve">to this document.</w:t>
      </w:r>
    </w:p>
    <w:p>
      <w:pPr>
        <w:pStyle w:val="TableCaption"/>
      </w:pPr>
      <w:r>
        <w:t xml:space="preserve">STROBE checklist</w:t>
      </w:r>
    </w:p>
    <w:tbl>
      <w:tblPr>
        <w:tblStyle w:val="Table"/>
        <w:tblW w:type="pct" w:w="5000"/>
        <w:tblLayout w:type="fixed"/>
        <w:tblLook w:firstRow="1" w:lastRow="0" w:firstColumn="0" w:lastColumn="0" w:noHBand="0" w:noVBand="0" w:val="0020"/>
        <w:tblCaption w:val="STROBE checklist"/>
      </w:tblPr>
      <w:tblGrid>
        <w:gridCol w:w="1584"/>
        <w:gridCol w:w="731"/>
        <w:gridCol w:w="2558"/>
        <w:gridCol w:w="3046"/>
      </w:tblGrid>
      <w:tr>
        <w:trPr>
          <w:tblHeader w:val="on"/>
        </w:trPr>
        <w:tc>
          <w:tcPr/>
          <w:p>
            <w:pPr>
              <w:pStyle w:val="Compact"/>
              <w:jc w:val="left"/>
            </w:pPr>
            <w:r>
              <w:t xml:space="preserve">Item</w:t>
            </w:r>
          </w:p>
        </w:tc>
        <w:tc>
          <w:tcPr/>
          <w:p>
            <w:pPr>
              <w:pStyle w:val="Compact"/>
              <w:jc w:val="center"/>
            </w:pPr>
            <w:r>
              <w:t xml:space="preserve">No.</w:t>
            </w:r>
          </w:p>
        </w:tc>
        <w:tc>
          <w:tcPr/>
          <w:p>
            <w:pPr>
              <w:pStyle w:val="Compact"/>
              <w:jc w:val="left"/>
            </w:pPr>
            <w:r>
              <w:t xml:space="preserve">Recommendation (abbreviated)</w:t>
            </w:r>
          </w:p>
        </w:tc>
        <w:tc>
          <w:tcPr/>
          <w:p>
            <w:pPr>
              <w:pStyle w:val="Compact"/>
              <w:jc w:val="left"/>
            </w:pPr>
            <w:r>
              <w:t xml:space="preserve">Where reported</w:t>
            </w:r>
          </w:p>
        </w:tc>
      </w:tr>
      <w:tr>
        <w:tc>
          <w:tcPr/>
          <w:p>
            <w:pPr>
              <w:pStyle w:val="Compact"/>
              <w:jc w:val="left"/>
            </w:pPr>
            <w:r>
              <w:t xml:space="preserve">Title and abstract</w:t>
            </w:r>
          </w:p>
        </w:tc>
        <w:tc>
          <w:tcPr/>
          <w:p>
            <w:pPr>
              <w:pStyle w:val="Compact"/>
              <w:jc w:val="center"/>
            </w:pPr>
            <w:r>
              <w:t xml:space="preserve">1</w:t>
            </w:r>
          </w:p>
        </w:tc>
        <w:tc>
          <w:tcPr/>
          <w:p>
            <w:pPr>
              <w:pStyle w:val="Compact"/>
              <w:jc w:val="left"/>
            </w:pPr>
            <w:r>
              <w:t xml:space="preserve">Indicate the design; give an informative, balanced summary</w:t>
            </w:r>
          </w:p>
        </w:tc>
        <w:tc>
          <w:tcPr/>
          <w:p>
            <w:pPr>
              <w:pStyle w:val="Compact"/>
              <w:jc w:val="left"/>
            </w:pPr>
            <w:r>
              <w:t xml:space="preserve">Title (pre-registered analysis); Abstract (retrospective cohort study)</w:t>
            </w:r>
          </w:p>
        </w:tc>
      </w:tr>
      <w:tr>
        <w:tc>
          <w:tcPr/>
          <w:p>
            <w:pPr>
              <w:pStyle w:val="Compact"/>
              <w:jc w:val="left"/>
            </w:pPr>
            <w:r>
              <w:t xml:space="preserve">Background/rationale</w:t>
            </w:r>
          </w:p>
        </w:tc>
        <w:tc>
          <w:tcPr/>
          <w:p>
            <w:pPr>
              <w:pStyle w:val="Compact"/>
              <w:jc w:val="center"/>
            </w:pPr>
            <w:r>
              <w:t xml:space="preserve">2</w:t>
            </w:r>
          </w:p>
        </w:tc>
        <w:tc>
          <w:tcPr/>
          <w:p>
            <w:pPr>
              <w:pStyle w:val="Compact"/>
              <w:jc w:val="left"/>
            </w:pPr>
            <w:r>
              <w:t xml:space="preserve">Scientific background and rationale</w:t>
            </w:r>
          </w:p>
        </w:tc>
        <w:tc>
          <w:tcPr/>
          <w:p>
            <w:pPr>
              <w:pStyle w:val="Compact"/>
              <w:jc w:val="left"/>
            </w:pPr>
            <w:r>
              <w:t xml:space="preserve">Introduction, paragraphs 1-3</w:t>
            </w:r>
          </w:p>
        </w:tc>
      </w:tr>
      <w:tr>
        <w:tc>
          <w:tcPr/>
          <w:p>
            <w:pPr>
              <w:pStyle w:val="Compact"/>
              <w:jc w:val="left"/>
            </w:pPr>
            <w:r>
              <w:t xml:space="preserve">Objectives</w:t>
            </w:r>
          </w:p>
        </w:tc>
        <w:tc>
          <w:tcPr/>
          <w:p>
            <w:pPr>
              <w:pStyle w:val="Compact"/>
              <w:jc w:val="center"/>
            </w:pPr>
            <w:r>
              <w:t xml:space="preserve">3</w:t>
            </w:r>
          </w:p>
        </w:tc>
        <w:tc>
          <w:tcPr/>
          <w:p>
            <w:pPr>
              <w:pStyle w:val="Compact"/>
              <w:jc w:val="left"/>
            </w:pPr>
            <w:r>
              <w:t xml:space="preserve">Specific objectives and prespecified hypotheses</w:t>
            </w:r>
          </w:p>
        </w:tc>
        <w:tc>
          <w:tcPr/>
          <w:p>
            <w:pPr>
              <w:pStyle w:val="Compact"/>
              <w:jc w:val="left"/>
            </w:pPr>
            <w:r>
              <w:t xml:space="preserve">Introduction, paragraph 4; Methods, Hypotheses</w:t>
            </w:r>
          </w:p>
        </w:tc>
      </w:tr>
      <w:tr>
        <w:tc>
          <w:tcPr/>
          <w:p>
            <w:pPr>
              <w:pStyle w:val="Compact"/>
              <w:jc w:val="left"/>
            </w:pPr>
            <w:r>
              <w:t xml:space="preserve">Study design</w:t>
            </w:r>
          </w:p>
        </w:tc>
        <w:tc>
          <w:tcPr/>
          <w:p>
            <w:pPr>
              <w:pStyle w:val="Compact"/>
              <w:jc w:val="center"/>
            </w:pPr>
            <w:r>
              <w:t xml:space="preserve">4</w:t>
            </w:r>
          </w:p>
        </w:tc>
        <w:tc>
          <w:tcPr/>
          <w:p>
            <w:pPr>
              <w:pStyle w:val="Compact"/>
              <w:jc w:val="left"/>
            </w:pPr>
            <w:r>
              <w:t xml:space="preserve">Key elements of the design</w:t>
            </w:r>
          </w:p>
        </w:tc>
        <w:tc>
          <w:tcPr/>
          <w:p>
            <w:pPr>
              <w:pStyle w:val="Compact"/>
              <w:jc w:val="left"/>
            </w:pPr>
            <w:r>
              <w:t xml:space="preserve">Methods, Study design and preregistration</w:t>
            </w:r>
          </w:p>
        </w:tc>
      </w:tr>
      <w:tr>
        <w:tc>
          <w:tcPr/>
          <w:p>
            <w:pPr>
              <w:pStyle w:val="Compact"/>
              <w:jc w:val="left"/>
            </w:pPr>
            <w:r>
              <w:t xml:space="preserve">Setting</w:t>
            </w:r>
          </w:p>
        </w:tc>
        <w:tc>
          <w:tcPr/>
          <w:p>
            <w:pPr>
              <w:pStyle w:val="Compact"/>
              <w:jc w:val="center"/>
            </w:pPr>
            <w:r>
              <w:t xml:space="preserve">5</w:t>
            </w:r>
          </w:p>
        </w:tc>
        <w:tc>
          <w:tcPr/>
          <w:p>
            <w:pPr>
              <w:pStyle w:val="Compact"/>
              <w:jc w:val="left"/>
            </w:pPr>
            <w:r>
              <w:t xml:space="preserve">Setting, locations, dates of recruitment, exposure, follow-up, data collection</w:t>
            </w:r>
          </w:p>
        </w:tc>
        <w:tc>
          <w:tcPr/>
          <w:p>
            <w:pPr>
              <w:pStyle w:val="Compact"/>
              <w:jc w:val="left"/>
            </w:pPr>
            <w:r>
              <w:t xml:space="preserve">Methods, Data sources; Population and groups</w:t>
            </w:r>
          </w:p>
        </w:tc>
      </w:tr>
      <w:tr>
        <w:tc>
          <w:tcPr/>
          <w:p>
            <w:pPr>
              <w:pStyle w:val="Compact"/>
              <w:jc w:val="left"/>
            </w:pPr>
            <w:r>
              <w:t xml:space="preserve">Participants</w:t>
            </w:r>
          </w:p>
        </w:tc>
        <w:tc>
          <w:tcPr/>
          <w:p>
            <w:pPr>
              <w:pStyle w:val="Compact"/>
              <w:jc w:val="center"/>
            </w:pPr>
            <w:r>
              <w:t xml:space="preserve">6</w:t>
            </w:r>
          </w:p>
        </w:tc>
        <w:tc>
          <w:tcPr/>
          <w:p>
            <w:pPr>
              <w:pStyle w:val="Compact"/>
              <w:jc w:val="left"/>
            </w:pPr>
            <w:r>
              <w:t xml:space="preserve">Eligibility criteria, sources and methods of selection; follow-up</w:t>
            </w:r>
          </w:p>
        </w:tc>
        <w:tc>
          <w:tcPr/>
          <w:p>
            <w:pPr>
              <w:pStyle w:val="Compact"/>
              <w:jc w:val="left"/>
            </w:pPr>
            <w:r>
              <w:t xml:space="preserve">Methods, Population and groups; Figure 1</w:t>
            </w:r>
          </w:p>
        </w:tc>
      </w:tr>
      <w:tr>
        <w:tc>
          <w:tcPr/>
          <w:p>
            <w:pPr>
              <w:pStyle w:val="Compact"/>
              <w:jc w:val="left"/>
            </w:pPr>
            <w:r>
              <w:t xml:space="preserve">Variables</w:t>
            </w:r>
          </w:p>
        </w:tc>
        <w:tc>
          <w:tcPr/>
          <w:p>
            <w:pPr>
              <w:pStyle w:val="Compact"/>
              <w:jc w:val="center"/>
            </w:pPr>
            <w:r>
              <w:t xml:space="preserve">7</w:t>
            </w:r>
          </w:p>
        </w:tc>
        <w:tc>
          <w:tcPr/>
          <w:p>
            <w:pPr>
              <w:pStyle w:val="Compact"/>
              <w:jc w:val="left"/>
            </w:pPr>
            <w:r>
              <w:t xml:space="preserve">Define outcomes, exposures, predictors, confounders, effect modifiers</w:t>
            </w:r>
          </w:p>
        </w:tc>
        <w:tc>
          <w:tcPr/>
          <w:p>
            <w:pPr>
              <w:pStyle w:val="Compact"/>
              <w:jc w:val="left"/>
            </w:pPr>
            <w:r>
              <w:t xml:space="preserve">Methods, Variables; Hypotheses</w:t>
            </w:r>
          </w:p>
        </w:tc>
      </w:tr>
      <w:tr>
        <w:tc>
          <w:tcPr/>
          <w:p>
            <w:pPr>
              <w:pStyle w:val="Compact"/>
              <w:jc w:val="left"/>
            </w:pPr>
            <w:r>
              <w:t xml:space="preserve">Data sources/measurement</w:t>
            </w:r>
          </w:p>
        </w:tc>
        <w:tc>
          <w:tcPr/>
          <w:p>
            <w:pPr>
              <w:pStyle w:val="Compact"/>
              <w:jc w:val="center"/>
            </w:pPr>
            <w:r>
              <w:t xml:space="preserve">8</w:t>
            </w:r>
          </w:p>
        </w:tc>
        <w:tc>
          <w:tcPr/>
          <w:p>
            <w:pPr>
              <w:pStyle w:val="Compact"/>
              <w:jc w:val="left"/>
            </w:pPr>
            <w:r>
              <w:t xml:space="preserve">Sources and methods of measurement; comparability</w:t>
            </w:r>
          </w:p>
        </w:tc>
        <w:tc>
          <w:tcPr/>
          <w:p>
            <w:pPr>
              <w:pStyle w:val="Compact"/>
              <w:jc w:val="left"/>
            </w:pPr>
            <w:r>
              <w:t xml:space="preserve">Methods, Data sources; Variables (validation); eTable 1</w:t>
            </w:r>
          </w:p>
        </w:tc>
      </w:tr>
      <w:tr>
        <w:tc>
          <w:tcPr/>
          <w:p>
            <w:pPr>
              <w:pStyle w:val="Compact"/>
              <w:jc w:val="left"/>
            </w:pPr>
            <w:r>
              <w:t xml:space="preserve">Bias</w:t>
            </w:r>
          </w:p>
        </w:tc>
        <w:tc>
          <w:tcPr/>
          <w:p>
            <w:pPr>
              <w:pStyle w:val="Compact"/>
              <w:jc w:val="center"/>
            </w:pPr>
            <w:r>
              <w:t xml:space="preserve">9</w:t>
            </w:r>
          </w:p>
        </w:tc>
        <w:tc>
          <w:tcPr/>
          <w:p>
            <w:pPr>
              <w:pStyle w:val="Compact"/>
              <w:jc w:val="left"/>
            </w:pPr>
            <w:r>
              <w:t xml:space="preserve">Efforts to address potential sources of bias</w:t>
            </w:r>
          </w:p>
        </w:tc>
        <w:tc>
          <w:tcPr/>
          <w:p>
            <w:pPr>
              <w:pStyle w:val="Compact"/>
              <w:jc w:val="left"/>
            </w:pPr>
            <w:r>
              <w:t xml:space="preserve">Methods, Study design (preregistration, outcome lock), Statistical analysis (equivalence condition); Discussion, Limitations</w:t>
            </w:r>
          </w:p>
        </w:tc>
      </w:tr>
      <w:tr>
        <w:tc>
          <w:tcPr/>
          <w:p>
            <w:pPr>
              <w:pStyle w:val="Compact"/>
              <w:jc w:val="left"/>
            </w:pPr>
            <w:r>
              <w:t xml:space="preserve">Study size</w:t>
            </w:r>
          </w:p>
        </w:tc>
        <w:tc>
          <w:tcPr/>
          <w:p>
            <w:pPr>
              <w:pStyle w:val="Compact"/>
              <w:jc w:val="center"/>
            </w:pPr>
            <w:r>
              <w:t xml:space="preserve">10</w:t>
            </w:r>
          </w:p>
        </w:tc>
        <w:tc>
          <w:tcPr/>
          <w:p>
            <w:pPr>
              <w:pStyle w:val="Compact"/>
              <w:jc w:val="left"/>
            </w:pPr>
            <w:r>
              <w:t xml:space="preserve">How the study size was arrived at</w:t>
            </w:r>
          </w:p>
        </w:tc>
        <w:tc>
          <w:tcPr/>
          <w:p>
            <w:pPr>
              <w:pStyle w:val="Compact"/>
              <w:jc w:val="left"/>
            </w:pPr>
            <w:r>
              <w:t xml:space="preserve">Methods, Population and groups (all eligible ACOs); Power; eTable 2</w:t>
            </w:r>
          </w:p>
        </w:tc>
      </w:tr>
      <w:tr>
        <w:tc>
          <w:tcPr/>
          <w:p>
            <w:pPr>
              <w:pStyle w:val="Compact"/>
              <w:jc w:val="left"/>
            </w:pPr>
            <w:r>
              <w:t xml:space="preserve">Quantitative variables</w:t>
            </w:r>
          </w:p>
        </w:tc>
        <w:tc>
          <w:tcPr/>
          <w:p>
            <w:pPr>
              <w:pStyle w:val="Compact"/>
              <w:jc w:val="center"/>
            </w:pPr>
            <w:r>
              <w:t xml:space="preserve">11</w:t>
            </w:r>
          </w:p>
        </w:tc>
        <w:tc>
          <w:tcPr/>
          <w:p>
            <w:pPr>
              <w:pStyle w:val="Compact"/>
              <w:jc w:val="left"/>
            </w:pPr>
            <w:r>
              <w:t xml:space="preserve">How quantitative variables were handled; groupings</w:t>
            </w:r>
          </w:p>
        </w:tc>
        <w:tc>
          <w:tcPr/>
          <w:p>
            <w:pPr>
              <w:pStyle w:val="Compact"/>
              <w:jc w:val="left"/>
            </w:pPr>
            <w:r>
              <w:t xml:space="preserve">Methods, Variables; Statistical analysis (scaling by 2 SD)</w:t>
            </w:r>
          </w:p>
        </w:tc>
      </w:tr>
      <w:tr>
        <w:tc>
          <w:tcPr/>
          <w:p>
            <w:pPr>
              <w:pStyle w:val="Compact"/>
              <w:jc w:val="left"/>
            </w:pPr>
            <w:r>
              <w:t xml:space="preserve">Statistical methods</w:t>
            </w:r>
          </w:p>
        </w:tc>
        <w:tc>
          <w:tcPr/>
          <w:p>
            <w:pPr>
              <w:pStyle w:val="Compact"/>
              <w:jc w:val="center"/>
            </w:pPr>
            <w:r>
              <w:t xml:space="preserve">12a</w:t>
            </w:r>
          </w:p>
        </w:tc>
        <w:tc>
          <w:tcPr/>
          <w:p>
            <w:pPr>
              <w:pStyle w:val="Compact"/>
              <w:jc w:val="left"/>
            </w:pPr>
            <w:r>
              <w:t xml:space="preserve">All statistical methods, including for confounding</w:t>
            </w:r>
          </w:p>
        </w:tc>
        <w:tc>
          <w:tcPr/>
          <w:p>
            <w:pPr>
              <w:pStyle w:val="Compact"/>
              <w:jc w:val="left"/>
            </w:pPr>
            <w:r>
              <w:t xml:space="preserve">Methods, Statistical analysis</w:t>
            </w:r>
          </w:p>
        </w:tc>
      </w:tr>
      <w:tr>
        <w:tc>
          <w:tcPr/>
          <w:p>
            <w:pPr>
              <w:pStyle w:val="Compact"/>
            </w:pPr>
          </w:p>
        </w:tc>
        <w:tc>
          <w:tcPr/>
          <w:p>
            <w:pPr>
              <w:pStyle w:val="Compact"/>
              <w:jc w:val="center"/>
            </w:pPr>
            <w:r>
              <w:t xml:space="preserve">12b</w:t>
            </w:r>
          </w:p>
        </w:tc>
        <w:tc>
          <w:tcPr/>
          <w:p>
            <w:pPr>
              <w:pStyle w:val="Compact"/>
              <w:jc w:val="left"/>
            </w:pPr>
            <w:r>
              <w:t xml:space="preserve">Methods for subgroups and interactions</w:t>
            </w:r>
          </w:p>
        </w:tc>
        <w:tc>
          <w:tcPr/>
          <w:p>
            <w:pPr>
              <w:pStyle w:val="Compact"/>
              <w:jc w:val="left"/>
            </w:pPr>
            <w:r>
              <w:t xml:space="preserve">None registered; single-cohort restrictions in eTables 3-4</w:t>
            </w:r>
          </w:p>
        </w:tc>
      </w:tr>
      <w:tr>
        <w:tc>
          <w:tcPr/>
          <w:p>
            <w:pPr>
              <w:pStyle w:val="Compact"/>
            </w:pPr>
          </w:p>
        </w:tc>
        <w:tc>
          <w:tcPr/>
          <w:p>
            <w:pPr>
              <w:pStyle w:val="Compact"/>
              <w:jc w:val="center"/>
            </w:pPr>
            <w:r>
              <w:t xml:space="preserve">12c</w:t>
            </w:r>
          </w:p>
        </w:tc>
        <w:tc>
          <w:tcPr/>
          <w:p>
            <w:pPr>
              <w:pStyle w:val="Compact"/>
              <w:jc w:val="left"/>
            </w:pPr>
            <w:r>
              <w:t xml:space="preserve">How missing data were addressed</w:t>
            </w:r>
          </w:p>
        </w:tc>
        <w:tc>
          <w:tcPr/>
          <w:p>
            <w:pPr>
              <w:pStyle w:val="Compact"/>
              <w:jc w:val="left"/>
            </w:pPr>
            <w:r>
              <w:t xml:space="preserve">Methods, Variables (suppressed values); Results, Validation and sample</w:t>
            </w:r>
          </w:p>
        </w:tc>
      </w:tr>
      <w:tr>
        <w:tc>
          <w:tcPr/>
          <w:p>
            <w:pPr>
              <w:pStyle w:val="Compact"/>
            </w:pPr>
          </w:p>
        </w:tc>
        <w:tc>
          <w:tcPr/>
          <w:p>
            <w:pPr>
              <w:pStyle w:val="Compact"/>
              <w:jc w:val="center"/>
            </w:pPr>
            <w:r>
              <w:t xml:space="preserve">12d</w:t>
            </w:r>
          </w:p>
        </w:tc>
        <w:tc>
          <w:tcPr/>
          <w:p>
            <w:pPr>
              <w:pStyle w:val="Compact"/>
              <w:jc w:val="left"/>
            </w:pPr>
            <w:r>
              <w:t xml:space="preserve">How loss to follow-up was addressed</w:t>
            </w:r>
          </w:p>
        </w:tc>
        <w:tc>
          <w:tcPr/>
          <w:p>
            <w:pPr>
              <w:pStyle w:val="Compact"/>
              <w:jc w:val="left"/>
            </w:pPr>
            <w:r>
              <w:t xml:space="preserve">Methods, Statistical analysis (not yet renewed; balanced panel); eTable 8</w:t>
            </w:r>
          </w:p>
        </w:tc>
      </w:tr>
      <w:tr>
        <w:tc>
          <w:tcPr/>
          <w:p>
            <w:pPr>
              <w:pStyle w:val="Compact"/>
            </w:pPr>
          </w:p>
        </w:tc>
        <w:tc>
          <w:tcPr/>
          <w:p>
            <w:pPr>
              <w:pStyle w:val="Compact"/>
              <w:jc w:val="center"/>
            </w:pPr>
            <w:r>
              <w:t xml:space="preserve">12e</w:t>
            </w:r>
          </w:p>
        </w:tc>
        <w:tc>
          <w:tcPr/>
          <w:p>
            <w:pPr>
              <w:pStyle w:val="Compact"/>
              <w:jc w:val="left"/>
            </w:pPr>
            <w:r>
              <w:t xml:space="preserve">Sensitivity analyses</w:t>
            </w:r>
          </w:p>
        </w:tc>
        <w:tc>
          <w:tcPr/>
          <w:p>
            <w:pPr>
              <w:pStyle w:val="Compact"/>
              <w:jc w:val="left"/>
            </w:pPr>
            <w:r>
              <w:t xml:space="preserve">Methods, Covariate-adjusted estimates, conventional methods and robustness; eTables 3-6</w:t>
            </w:r>
          </w:p>
        </w:tc>
      </w:tr>
      <w:tr>
        <w:tc>
          <w:tcPr/>
          <w:p>
            <w:pPr>
              <w:pStyle w:val="Compact"/>
              <w:jc w:val="left"/>
            </w:pPr>
            <w:r>
              <w:t xml:space="preserve">Participants</w:t>
            </w:r>
          </w:p>
        </w:tc>
        <w:tc>
          <w:tcPr/>
          <w:p>
            <w:pPr>
              <w:pStyle w:val="Compact"/>
              <w:jc w:val="center"/>
            </w:pPr>
            <w:r>
              <w:t xml:space="preserve">13a</w:t>
            </w:r>
          </w:p>
        </w:tc>
        <w:tc>
          <w:tcPr/>
          <w:p>
            <w:pPr>
              <w:pStyle w:val="Compact"/>
              <w:jc w:val="left"/>
            </w:pPr>
            <w:r>
              <w:t xml:space="preserve">Numbers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13b</w:t>
            </w:r>
          </w:p>
        </w:tc>
        <w:tc>
          <w:tcPr/>
          <w:p>
            <w:pPr>
              <w:pStyle w:val="Compact"/>
              <w:jc w:val="left"/>
            </w:pPr>
            <w:r>
              <w:t xml:space="preserve">Reasons for nonparticipation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13c</w:t>
            </w:r>
          </w:p>
        </w:tc>
        <w:tc>
          <w:tcPr/>
          <w:p>
            <w:pPr>
              <w:pStyle w:val="Compact"/>
              <w:jc w:val="left"/>
            </w:pPr>
            <w:r>
              <w:t xml:space="preserve">Flow diagram</w:t>
            </w:r>
          </w:p>
        </w:tc>
        <w:tc>
          <w:tcPr/>
          <w:p>
            <w:pPr>
              <w:pStyle w:val="Compact"/>
              <w:jc w:val="left"/>
            </w:pPr>
            <w:r>
              <w:t xml:space="preserve">Figure 1</w:t>
            </w:r>
          </w:p>
        </w:tc>
      </w:tr>
      <w:tr>
        <w:tc>
          <w:tcPr/>
          <w:p>
            <w:pPr>
              <w:pStyle w:val="Compact"/>
              <w:jc w:val="left"/>
            </w:pPr>
            <w:r>
              <w:t xml:space="preserve">Descriptive data</w:t>
            </w:r>
          </w:p>
        </w:tc>
        <w:tc>
          <w:tcPr/>
          <w:p>
            <w:pPr>
              <w:pStyle w:val="Compact"/>
              <w:jc w:val="center"/>
            </w:pPr>
            <w:r>
              <w:t xml:space="preserve">14a</w:t>
            </w:r>
          </w:p>
        </w:tc>
        <w:tc>
          <w:tcPr/>
          <w:p>
            <w:pPr>
              <w:pStyle w:val="Compact"/>
              <w:jc w:val="left"/>
            </w:pPr>
            <w:r>
              <w:t xml:space="preserve">Characteristics of participants; exposures and confounders</w:t>
            </w:r>
          </w:p>
        </w:tc>
        <w:tc>
          <w:tcPr/>
          <w:p>
            <w:pPr>
              <w:pStyle w:val="Compact"/>
              <w:jc w:val="left"/>
            </w:pPr>
            <w:r>
              <w:t xml:space="preserve">Table 1 (group, cohort, track, case mix, savings rate, constructed variables); the H3 adjustment factors (size, revenue category, assignment method, agreement number) are not in the results files and are not tabulated</w:t>
            </w:r>
          </w:p>
        </w:tc>
      </w:tr>
      <w:tr>
        <w:tc>
          <w:tcPr/>
          <w:p>
            <w:pPr>
              <w:pStyle w:val="Compact"/>
            </w:pPr>
          </w:p>
        </w:tc>
        <w:tc>
          <w:tcPr/>
          <w:p>
            <w:pPr>
              <w:pStyle w:val="Compact"/>
              <w:jc w:val="center"/>
            </w:pPr>
            <w:r>
              <w:t xml:space="preserve">14b</w:t>
            </w:r>
          </w:p>
        </w:tc>
        <w:tc>
          <w:tcPr/>
          <w:p>
            <w:pPr>
              <w:pStyle w:val="Compact"/>
              <w:jc w:val="left"/>
            </w:pPr>
            <w:r>
              <w:t xml:space="preserve">Number with missing data for each variable</w:t>
            </w:r>
          </w:p>
        </w:tc>
        <w:tc>
          <w:tcPr/>
          <w:p>
            <w:pPr>
              <w:pStyle w:val="Compact"/>
              <w:jc w:val="left"/>
            </w:pPr>
            <w:r>
              <w:t xml:space="preserve">Table 1; Figure 1</w:t>
            </w:r>
          </w:p>
        </w:tc>
      </w:tr>
      <w:tr>
        <w:tc>
          <w:tcPr/>
          <w:p>
            <w:pPr>
              <w:pStyle w:val="Compact"/>
            </w:pPr>
          </w:p>
        </w:tc>
        <w:tc>
          <w:tcPr/>
          <w:p>
            <w:pPr>
              <w:pStyle w:val="Compact"/>
              <w:jc w:val="center"/>
            </w:pPr>
            <w:r>
              <w:t xml:space="preserve">14c</w:t>
            </w:r>
          </w:p>
        </w:tc>
        <w:tc>
          <w:tcPr/>
          <w:p>
            <w:pPr>
              <w:pStyle w:val="Compact"/>
              <w:jc w:val="left"/>
            </w:pPr>
            <w:r>
              <w:t xml:space="preserve">Follow-up time</w:t>
            </w:r>
          </w:p>
        </w:tc>
        <w:tc>
          <w:tcPr/>
          <w:p>
            <w:pPr>
              <w:pStyle w:val="Compact"/>
              <w:jc w:val="left"/>
            </w:pPr>
            <w:r>
              <w:t xml:space="preserve">eTable 8 (mean included post-period years by group)</w:t>
            </w:r>
          </w:p>
        </w:tc>
      </w:tr>
      <w:tr>
        <w:tc>
          <w:tcPr/>
          <w:p>
            <w:pPr>
              <w:pStyle w:val="Compact"/>
              <w:jc w:val="left"/>
            </w:pPr>
            <w:r>
              <w:t xml:space="preserve">Outcome data</w:t>
            </w:r>
          </w:p>
        </w:tc>
        <w:tc>
          <w:tcPr/>
          <w:p>
            <w:pPr>
              <w:pStyle w:val="Compact"/>
              <w:jc w:val="center"/>
            </w:pPr>
            <w:r>
              <w:t xml:space="preserve">15</w:t>
            </w:r>
          </w:p>
        </w:tc>
        <w:tc>
          <w:tcPr/>
          <w:p>
            <w:pPr>
              <w:pStyle w:val="Compact"/>
              <w:jc w:val="left"/>
            </w:pPr>
            <w:r>
              <w:t xml:space="preserve">Numbers of outcome events or summary measures over time</w:t>
            </w:r>
          </w:p>
        </w:tc>
        <w:tc>
          <w:tcPr/>
          <w:p>
            <w:pPr>
              <w:pStyle w:val="Compact"/>
              <w:jc w:val="left"/>
            </w:pPr>
            <w:r>
              <w:t xml:space="preserve">Early renewal: 29 of 306 compared ACOs (Table 1), 24 of 206 in H3 (Table 3); spending over time: eTable 11</w:t>
            </w:r>
          </w:p>
        </w:tc>
      </w:tr>
      <w:tr>
        <w:tc>
          <w:tcPr/>
          <w:p>
            <w:pPr>
              <w:pStyle w:val="Compact"/>
              <w:jc w:val="left"/>
            </w:pPr>
            <w:r>
              <w:t xml:space="preserve">Main results</w:t>
            </w:r>
          </w:p>
        </w:tc>
        <w:tc>
          <w:tcPr/>
          <w:p>
            <w:pPr>
              <w:pStyle w:val="Compact"/>
              <w:jc w:val="center"/>
            </w:pPr>
            <w:r>
              <w:t xml:space="preserve">16a</w:t>
            </w:r>
          </w:p>
        </w:tc>
        <w:tc>
          <w:tcPr/>
          <w:p>
            <w:pPr>
              <w:pStyle w:val="Compact"/>
              <w:jc w:val="left"/>
            </w:pPr>
            <w:r>
              <w:t xml:space="preserve">Unadjusted and adjusted estimates with precision</w:t>
            </w:r>
          </w:p>
        </w:tc>
        <w:tc>
          <w:tcPr/>
          <w:p>
            <w:pPr>
              <w:pStyle w:val="Compact"/>
              <w:jc w:val="left"/>
            </w:pPr>
            <w:r>
              <w:t xml:space="preserve">Tables 2-4; Figures 2-4; eTables 3, 6</w:t>
            </w:r>
          </w:p>
        </w:tc>
      </w:tr>
      <w:tr>
        <w:tc>
          <w:tcPr/>
          <w:p>
            <w:pPr>
              <w:pStyle w:val="Compact"/>
            </w:pPr>
          </w:p>
        </w:tc>
        <w:tc>
          <w:tcPr/>
          <w:p>
            <w:pPr>
              <w:pStyle w:val="Compact"/>
              <w:jc w:val="center"/>
            </w:pPr>
            <w:r>
              <w:t xml:space="preserve">16b</w:t>
            </w:r>
          </w:p>
        </w:tc>
        <w:tc>
          <w:tcPr/>
          <w:p>
            <w:pPr>
              <w:pStyle w:val="Compact"/>
              <w:jc w:val="left"/>
            </w:pPr>
            <w:r>
              <w:t xml:space="preserve">Category boundaries for continuous variables</w:t>
            </w:r>
          </w:p>
        </w:tc>
        <w:tc>
          <w:tcPr/>
          <w:p>
            <w:pPr>
              <w:pStyle w:val="Compact"/>
              <w:jc w:val="left"/>
            </w:pPr>
            <w:r>
              <w:t xml:space="preserve">Not applicable (continuous variables not categorized)</w:t>
            </w:r>
          </w:p>
        </w:tc>
      </w:tr>
      <w:tr>
        <w:tc>
          <w:tcPr/>
          <w:p>
            <w:pPr>
              <w:pStyle w:val="Compact"/>
            </w:pPr>
          </w:p>
        </w:tc>
        <w:tc>
          <w:tcPr/>
          <w:p>
            <w:pPr>
              <w:pStyle w:val="Compact"/>
              <w:jc w:val="center"/>
            </w:pPr>
            <w:r>
              <w:t xml:space="preserve">16c</w:t>
            </w:r>
          </w:p>
        </w:tc>
        <w:tc>
          <w:tcPr/>
          <w:p>
            <w:pPr>
              <w:pStyle w:val="Compact"/>
              <w:jc w:val="left"/>
            </w:pPr>
            <w:r>
              <w:t xml:space="preserve">Translation of relative risk into absolute risk</w:t>
            </w:r>
          </w:p>
        </w:tc>
        <w:tc>
          <w:tcPr/>
          <w:p>
            <w:pPr>
              <w:pStyle w:val="Compact"/>
              <w:jc w:val="left"/>
            </w:pPr>
            <w:r>
              <w:t xml:space="preserve">Results (odds multiplier; dollar translation); eTable 5 (observed and predicted shares by decile)</w:t>
            </w:r>
          </w:p>
        </w:tc>
      </w:tr>
      <w:tr>
        <w:tc>
          <w:tcPr/>
          <w:p>
            <w:pPr>
              <w:pStyle w:val="Compact"/>
              <w:jc w:val="left"/>
            </w:pPr>
            <w:r>
              <w:t xml:space="preserve">Other analyses</w:t>
            </w:r>
          </w:p>
        </w:tc>
        <w:tc>
          <w:tcPr/>
          <w:p>
            <w:pPr>
              <w:pStyle w:val="Compact"/>
              <w:jc w:val="center"/>
            </w:pPr>
            <w:r>
              <w:t xml:space="preserve">17</w:t>
            </w:r>
          </w:p>
        </w:tc>
        <w:tc>
          <w:tcPr/>
          <w:p>
            <w:pPr>
              <w:pStyle w:val="Compact"/>
              <w:jc w:val="left"/>
            </w:pPr>
            <w:r>
              <w:t xml:space="preserve">Subgroups, interactions and sensitivity analyses</w:t>
            </w:r>
          </w:p>
        </w:tc>
        <w:tc>
          <w:tcPr/>
          <w:p>
            <w:pPr>
              <w:pStyle w:val="Compact"/>
              <w:jc w:val="left"/>
            </w:pPr>
            <w:r>
              <w:t xml:space="preserve">Results, Robustness and conventional methods; eTables 3-11</w:t>
            </w:r>
          </w:p>
        </w:tc>
      </w:tr>
      <w:tr>
        <w:tc>
          <w:tcPr/>
          <w:p>
            <w:pPr>
              <w:pStyle w:val="Compact"/>
              <w:jc w:val="left"/>
            </w:pPr>
            <w:r>
              <w:t xml:space="preserve">Key results</w:t>
            </w:r>
          </w:p>
        </w:tc>
        <w:tc>
          <w:tcPr/>
          <w:p>
            <w:pPr>
              <w:pStyle w:val="Compact"/>
              <w:jc w:val="center"/>
            </w:pPr>
            <w:r>
              <w:t xml:space="preserve">18</w:t>
            </w:r>
          </w:p>
        </w:tc>
        <w:tc>
          <w:tcPr/>
          <w:p>
            <w:pPr>
              <w:pStyle w:val="Compact"/>
              <w:jc w:val="left"/>
            </w:pPr>
            <w:r>
              <w:t xml:space="preserve">Summarize key results with reference to objectives</w:t>
            </w:r>
          </w:p>
        </w:tc>
        <w:tc>
          <w:tcPr/>
          <w:p>
            <w:pPr>
              <w:pStyle w:val="Compact"/>
              <w:jc w:val="left"/>
            </w:pPr>
            <w:r>
              <w:t xml:space="preserve">Discussion, paragraph 1</w:t>
            </w:r>
          </w:p>
        </w:tc>
      </w:tr>
      <w:tr>
        <w:tc>
          <w:tcPr/>
          <w:p>
            <w:pPr>
              <w:pStyle w:val="Compact"/>
              <w:jc w:val="left"/>
            </w:pPr>
            <w:r>
              <w:t xml:space="preserve">Limitations</w:t>
            </w:r>
          </w:p>
        </w:tc>
        <w:tc>
          <w:tcPr/>
          <w:p>
            <w:pPr>
              <w:pStyle w:val="Compact"/>
              <w:jc w:val="center"/>
            </w:pPr>
            <w:r>
              <w:t xml:space="preserve">19</w:t>
            </w:r>
          </w:p>
        </w:tc>
        <w:tc>
          <w:tcPr/>
          <w:p>
            <w:pPr>
              <w:pStyle w:val="Compact"/>
              <w:jc w:val="left"/>
            </w:pPr>
            <w:r>
              <w:t xml:space="preserve">Sources of potential bias or imprecision; direction and magnitude</w:t>
            </w:r>
          </w:p>
        </w:tc>
        <w:tc>
          <w:tcPr/>
          <w:p>
            <w:pPr>
              <w:pStyle w:val="Compact"/>
              <w:jc w:val="left"/>
            </w:pPr>
            <w:r>
              <w:t xml:space="preserve">Discussion, Limitations</w:t>
            </w:r>
          </w:p>
        </w:tc>
      </w:tr>
      <w:tr>
        <w:tc>
          <w:tcPr/>
          <w:p>
            <w:pPr>
              <w:pStyle w:val="Compact"/>
              <w:jc w:val="left"/>
            </w:pPr>
            <w:r>
              <w:t xml:space="preserve">Interpretation</w:t>
            </w:r>
          </w:p>
        </w:tc>
        <w:tc>
          <w:tcPr/>
          <w:p>
            <w:pPr>
              <w:pStyle w:val="Compact"/>
              <w:jc w:val="center"/>
            </w:pPr>
            <w:r>
              <w:t xml:space="preserve">20</w:t>
            </w:r>
          </w:p>
        </w:tc>
        <w:tc>
          <w:tcPr/>
          <w:p>
            <w:pPr>
              <w:pStyle w:val="Compact"/>
              <w:jc w:val="left"/>
            </w:pPr>
            <w:r>
              <w:t xml:space="preserve">Cautious overall interpretation</w:t>
            </w:r>
          </w:p>
        </w:tc>
        <w:tc>
          <w:tcPr/>
          <w:p>
            <w:pPr>
              <w:pStyle w:val="Compact"/>
              <w:jc w:val="left"/>
            </w:pPr>
            <w:r>
              <w:t xml:space="preserve">Discussion; Conclusions</w:t>
            </w:r>
          </w:p>
        </w:tc>
      </w:tr>
      <w:tr>
        <w:tc>
          <w:tcPr/>
          <w:p>
            <w:pPr>
              <w:pStyle w:val="Compact"/>
              <w:jc w:val="left"/>
            </w:pPr>
            <w:r>
              <w:t xml:space="preserve">Generalisability</w:t>
            </w:r>
          </w:p>
        </w:tc>
        <w:tc>
          <w:tcPr/>
          <w:p>
            <w:pPr>
              <w:pStyle w:val="Compact"/>
              <w:jc w:val="center"/>
            </w:pPr>
            <w:r>
              <w:t xml:space="preserve">21</w:t>
            </w:r>
          </w:p>
        </w:tc>
        <w:tc>
          <w:tcPr/>
          <w:p>
            <w:pPr>
              <w:pStyle w:val="Compact"/>
              <w:jc w:val="left"/>
            </w:pPr>
            <w:r>
              <w:t xml:space="preserve">External validity</w:t>
            </w:r>
          </w:p>
        </w:tc>
        <w:tc>
          <w:tcPr/>
          <w:p>
            <w:pPr>
              <w:pStyle w:val="Compact"/>
              <w:jc w:val="left"/>
            </w:pPr>
            <w:r>
              <w:t xml:space="preserve">Discussion, Implications (2024 rules); Limitations</w:t>
            </w:r>
          </w:p>
        </w:tc>
      </w:tr>
      <w:tr>
        <w:tc>
          <w:tcPr/>
          <w:p>
            <w:pPr>
              <w:pStyle w:val="Compact"/>
              <w:jc w:val="left"/>
            </w:pPr>
            <w:r>
              <w:t xml:space="preserve">Funding</w:t>
            </w:r>
          </w:p>
        </w:tc>
        <w:tc>
          <w:tcPr/>
          <w:p>
            <w:pPr>
              <w:pStyle w:val="Compact"/>
              <w:jc w:val="center"/>
            </w:pPr>
            <w:r>
              <w:t xml:space="preserve">22</w:t>
            </w:r>
          </w:p>
        </w:tc>
        <w:tc>
          <w:tcPr/>
          <w:p>
            <w:pPr>
              <w:pStyle w:val="Compact"/>
              <w:jc w:val="left"/>
            </w:pPr>
            <w:r>
              <w:t xml:space="preserve">Funding and role of funders</w:t>
            </w:r>
          </w:p>
        </w:tc>
        <w:tc>
          <w:tcPr/>
          <w:p>
            <w:pPr>
              <w:pStyle w:val="Compact"/>
              <w:jc w:val="left"/>
            </w:pPr>
            <w:r>
              <w:t xml:space="preserve">Declarations</w:t>
            </w:r>
          </w:p>
        </w:tc>
      </w:tr>
    </w:tbl>
    <w:bookmarkEnd w:id="11"/>
    <w:bookmarkStart w:id="21" w:name="references"/>
    <w:p>
      <w:pPr>
        <w:pStyle w:val="Heading1"/>
      </w:pPr>
      <w:r>
        <w:t xml:space="preserve">References</w:t>
      </w:r>
    </w:p>
    <w:bookmarkStart w:id="20" w:name="refs"/>
    <w:bookmarkStart w:id="13"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2">
        <w:r>
          <w:rPr>
            <w:rStyle w:val="Hyperlink"/>
          </w:rPr>
          <w:t xml:space="preserve">10.17605/OSF.IO/C53W9</w:t>
        </w:r>
      </w:hyperlink>
    </w:p>
    <w:bookmarkEnd w:id="13"/>
    <w:bookmarkStart w:id="15"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4">
        <w:r>
          <w:rPr>
            <w:rStyle w:val="Hyperlink"/>
          </w:rPr>
          <w:t xml:space="preserve">10.17605/OSF.IO/Z4AN5</w:t>
        </w:r>
      </w:hyperlink>
    </w:p>
    <w:bookmarkEnd w:id="15"/>
    <w:bookmarkStart w:id="17"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6">
        <w:r>
          <w:rPr>
            <w:rStyle w:val="Hyperlink"/>
          </w:rPr>
          <w:t xml:space="preserve">https://www.federalregister.gov/documents/2018/12/31/2018-27981/medicare-program-medicare-shared-savings-program-accountable-care-organizations-pathways-to-success</w:t>
        </w:r>
      </w:hyperlink>
    </w:p>
    <w:bookmarkEnd w:id="17"/>
    <w:bookmarkStart w:id="19" w:name="ref-vonelm2007"/>
    <w:p>
      <w:pPr>
        <w:pStyle w:val="Bibliography"/>
      </w:pPr>
      <w:r>
        <w:t xml:space="preserve">4.</w:t>
      </w:r>
      <w:r>
        <w:t xml:space="preserve"> </w:t>
      </w:r>
      <w:r>
        <w:t xml:space="preserve">	</w:t>
      </w:r>
      <w:r>
        <w:t xml:space="preserve">von Elm E, Altman DG, Egger M, et al. The Strengthening the Reporting of Observational Studies in Epidemiology (STROBE) Statement: Guidelines for Reporting Observational Studies.</w:t>
      </w:r>
      <w:r>
        <w:t xml:space="preserve"> </w:t>
      </w:r>
      <w:r>
        <w:rPr>
          <w:i/>
          <w:iCs/>
        </w:rPr>
        <w:t xml:space="preserve">PLoS Medicine</w:t>
      </w:r>
      <w:r>
        <w:t xml:space="preserve">. 2007;4(10):e296. doi:</w:t>
      </w:r>
      <w:hyperlink r:id="rId18">
        <w:r>
          <w:rPr>
            <w:rStyle w:val="Hyperlink"/>
          </w:rPr>
          <w:t xml:space="preserve">10.1371/journal.pmed.0040296</w:t>
        </w:r>
      </w:hyperlink>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1. Why did Medicare ACOs reset their benchmarks early? A pre-registered analysis of early renewal in the Medicare Shared Savings Program</dc:title>
  <dc:creator>Samuel Thomas Harrold</dc:creator>
  <dc:language>en-US</dc:language>
  <cp:keywords/>
  <dcterms:created xsi:type="dcterms:W3CDTF">2026-10-27T19:14:21Z</dcterms:created>
  <dcterms:modified xsi:type="dcterms:W3CDTF">2026-10-27T19:14:21Z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Preprint, 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