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 did Medicare ACOs reset their benchmarks early? A pre-registered analysis of early renewal in the Medicare Shared Savings Program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Correspondence: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Importance:</w:t>
      </w:r>
      <w:r>
        <w:t xml:space="preserve"> </w:t>
      </w:r>
      <w:r>
        <w:t xml:space="preserve">Medicare Shared Savings Program (MSSP) benchmarks are reset at each new agreement from an</w:t>
      </w:r>
      <w:r>
        <w:t xml:space="preserve"> </w:t>
      </w:r>
      <w:r>
        <w:t xml:space="preserve">accountable care organization’s (ACO’s) recent spending, adjusted toward its region. ACOs could end an agreement</w:t>
      </w:r>
      <w:r>
        <w:t xml:space="preserve"> </w:t>
      </w:r>
      <w:r>
        <w:t xml:space="preserve">early to reset sooner; which ACOs did so has not been studied in the peer-reviewed literature.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test whether ACOs that renewed early stood to gain more from the regional part of a reset, and</w:t>
      </w:r>
      <w:r>
        <w:t xml:space="preserve"> </w:t>
      </w:r>
      <w:r>
        <w:t xml:space="preserve">whether their spending growth differed afterward.</w:t>
      </w:r>
    </w:p>
    <w:p>
      <w:pPr>
        <w:pStyle w:val="BodyText"/>
      </w:pPr>
      <w:r>
        <w:rPr>
          <w:b/>
          <w:bCs/>
        </w:rPr>
        <w:t xml:space="preserve">Design, Setting, and Participants:</w:t>
      </w:r>
      <w:r>
        <w:t xml:space="preserve"> </w:t>
      </w:r>
      <w:r>
        <w:t xml:space="preserve">Preregistered retrospective cohort study of the 334 MSSP ACOs whose agreements</w:t>
      </w:r>
      <w:r>
        <w:t xml:space="preserve"> </w:t>
      </w:r>
      <w:r>
        <w:t xml:space="preserve">began July 1, 2019 or January 1, 2020, using CMS public use files (2016-2024). Plan, decision rules and code were</w:t>
      </w:r>
      <w:r>
        <w:t xml:space="preserve"> </w:t>
      </w:r>
      <w:r>
        <w:t xml:space="preserve">registered on OSF before any outcome data were read. The reset benchmark was rebuilt from 42 CFR 425.601 and</w:t>
      </w:r>
      <w:r>
        <w:t xml:space="preserve"> </w:t>
      </w:r>
      <w:r>
        <w:t xml:space="preserve">validated against CMS’s published benchmarks for 101 other ACOs before use.</w:t>
      </w:r>
    </w:p>
    <w:p>
      <w:pPr>
        <w:pStyle w:val="BodyText"/>
      </w:pPr>
      <w:r>
        <w:rPr>
          <w:b/>
          <w:bCs/>
        </w:rPr>
        <w:t xml:space="preserve">Exposures:</w:t>
      </w:r>
      <w:r>
        <w:t xml:space="preserve"> </w:t>
      </w:r>
      <w:r>
        <w:t xml:space="preserve">For the choice of early renewal into a January 1, 2022 agreement (29 ACOs vs 277 that stayed):</w:t>
      </w:r>
      <w:r>
        <w:t xml:space="preserve"> </w:t>
      </w:r>
      <w:r>
        <w:t xml:space="preserve">the regional pull (case-mix-adjusted regional spending relative to the current benchmark; primary), the own-spending</w:t>
      </w:r>
      <w:r>
        <w:t xml:space="preserve"> </w:t>
      </w:r>
      <w:r>
        <w:t xml:space="preserve">component of a reset and the BASIC risk level. For spending, early renewal itself.</w:t>
      </w:r>
    </w:p>
    <w:p>
      <w:pPr>
        <w:pStyle w:val="BodyText"/>
      </w:pPr>
      <w:r>
        <w:rPr>
          <w:b/>
          <w:bCs/>
        </w:rPr>
        <w:t xml:space="preserve">Main Outcomes and Measures:</w:t>
      </w:r>
      <w:r>
        <w:t xml:space="preserve"> </w:t>
      </w:r>
      <w:r>
        <w:t xml:space="preserve">Early renewal, by group comparisons (Bayesian bootstrap, permutation tests) and a</w:t>
      </w:r>
      <w:r>
        <w:t xml:space="preserve"> </w:t>
      </w:r>
      <w:r>
        <w:t xml:space="preserve">Bayesian logistic model with measurement error tested by direct simulation; per-capita spending growth in 2022-2024,</w:t>
      </w:r>
      <w:r>
        <w:t xml:space="preserve"> </w:t>
      </w:r>
      <w:r>
        <w:t xml:space="preserve">by difference-in-differences with a 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= 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higher, two-sided BASIC level (1.34; 95% CrI, 0.38 to 2.31). Spending growth did not differ detectably</w:t>
      </w:r>
      <w:r>
        <w:t xml:space="preserve"> </w:t>
      </w:r>
      <w:r>
        <w:t xml:space="preserve">(−0.4%; 95% CrI, −4.0% to 2.5%);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 and Relevance: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rate; the reset did</w:t>
      </w:r>
      <w:r>
        <w:t xml:space="preserve"> </w:t>
      </w:r>
      <w:r>
        <w:t xml:space="preserve">not on average raise their benchmarks. These are associations under the 2022 rules; benchmarks set from 2024 credit</w:t>
      </w:r>
      <w:r>
        <w:t xml:space="preserve"> </w:t>
      </w:r>
      <w:r>
        <w:t xml:space="preserve">prior savings.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Which ACOs used the option bears on how benchmark rules sort ACOs, but to</w:t>
      </w:r>
      <w:r>
        <w:t xml:space="preserve"> </w:t>
      </w:r>
      <w:r>
        <w:t xml:space="preserve">the author’s knowledge it has not been studied in the peer-reviewed literature.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b/>
          <w:b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b/>
          <w:b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22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(checklist in Supplement</w:t>
      </w:r>
      <w:r>
        <w:t xml:space="preserve"> </w:t>
      </w:r>
      <w:r>
        <w:t xml:space="preserve">1). The analysis plan and the code commit that implements it were registered on OSF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CMS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31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b/>
          <w:b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17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rPr>
          <w:b/>
          <w:bCs/>
        </w:rPr>
        <w:t xml:space="preserve">Expected gain from a reset.</w:t>
      </w:r>
      <w:r>
        <w:t xml:space="preserve"> </w:t>
      </w: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 </w:t>
      </w:r>
      <w:r>
        <w:t xml:space="preserve">(new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b/>
          <w:b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b/>
          <w:b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case-mix-adjusted regional spending for enrollment type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p>
      <w:pPr>
        <w:pStyle w:val="BodyText"/>
      </w:pPr>
      <w:r>
        <w:rPr>
          <w:b/>
          <w:bCs/>
        </w:rPr>
        <w:t xml:space="preserve">Validation before use.</w:t>
      </w:r>
      <w:r>
        <w:t xml:space="preserve"> </w:t>
      </w: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p>
      <w:pPr>
        <w:pStyle w:val="BodyText"/>
      </w:pPr>
      <w:r>
        <w:rPr>
          <w:b/>
          <w:bCs/>
        </w:rPr>
        <w:t xml:space="preserve">Other variables.</w:t>
      </w:r>
      <w:r>
        <w:t xml:space="preserve"> </w:t>
      </w: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Suppressed values.</w:t>
      </w:r>
      <w:r>
        <w:t xml:space="preserve"> </w:t>
      </w: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17"/>
    <w:bookmarkStart w:id="18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b/>
          <w:b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b/>
          <w:bCs/>
        </w:rPr>
        <w:t xml:space="preserve">H2a</w:t>
      </w:r>
      <w:r>
        <w:rPr>
          <w:b/>
          <w:bCs/>
        </w:rPr>
        <w:t xml:space="preserve"> </w:t>
      </w:r>
      <w:r>
        <w:rPr>
          <w:b/>
          <w:b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b/>
          <w:bCs/>
        </w:rPr>
        <w:t xml:space="preserve">H1</w:t>
      </w:r>
      <w:r>
        <w:rPr>
          <w:b/>
          <w:bCs/>
        </w:rPr>
        <w:t xml:space="preserve"> </w:t>
      </w:r>
      <w:r>
        <w:rPr>
          <w:b/>
          <w:b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b/>
          <w:b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b/>
          <w:b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18"/>
    <w:bookmarkStart w:id="19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rPr>
          <w:b/>
          <w:bCs/>
        </w:rPr>
        <w:t xml:space="preserve">Group comparisons (H1, H2a, H2b).</w:t>
      </w:r>
      <w:r>
        <w:t xml:space="preserve"> </w:t>
      </w: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p>
      <w:pPr>
        <w:pStyle w:val="BodyText"/>
      </w:pPr>
      <w:r>
        <w:rPr>
          <w:b/>
          <w:bCs/>
        </w:rPr>
        <w:t xml:space="preserve">Decision model (H3).</w:t>
      </w:r>
      <w:r>
        <w:t xml:space="preserve"> </w:t>
      </w: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40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p>
      <w:pPr>
        <w:pStyle w:val="BodyText"/>
      </w:pPr>
      <w:r>
        <w:rPr>
          <w:b/>
          <w:bCs/>
        </w:rPr>
        <w:t xml:space="preserve">Spending after renewal (H4).</w:t>
      </w:r>
      <w:r>
        <w:t xml:space="preserve"> </w:t>
      </w:r>
      <w:r>
        <w:t xml:space="preserve">For each ACO,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Minimum detectable effects (MDEs) at 80% power and 2-sided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p>
      <w:pPr>
        <w:pStyle w:val="BodyText"/>
      </w:pPr>
      <w:r>
        <w:rPr>
          <w:b/>
          <w:bCs/>
        </w:rPr>
        <w:t xml:space="preserve">Decision rules.</w:t>
      </w:r>
      <w:r>
        <w:t xml:space="preserve"> </w:t>
      </w: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p>
      <w:pPr>
        <w:pStyle w:val="BodyText"/>
      </w:pPr>
      <w:r>
        <w:rPr>
          <w:b/>
          <w:bCs/>
        </w:rPr>
        <w:t xml:space="preserve">Covariate-adjusted estimates, conventional methods and robustness.</w:t>
      </w:r>
      <w:r>
        <w:t xml:space="preserve"> </w:t>
      </w: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MCMC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55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Deviations.</w:t>
      </w:r>
      <w:r>
        <w:t xml:space="preserve"> </w:t>
      </w: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19"/>
    <w:bookmarkStart w:id="20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two checks of the</w:t>
      </w:r>
      <w:r>
        <w:t xml:space="preserve"> </w:t>
      </w:r>
      <w:r>
        <w:t xml:space="preserve">expected gain were added (eTable 12 in Supplement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</w:t>
      </w:r>
      <w:r>
        <w:t xml:space="preserve"> </w:t>
      </w:r>
      <w:r>
        <w:t xml:space="preserve">group-comparison estimator above.</w:t>
      </w:r>
    </w:p>
    <w:bookmarkEnd w:id="20"/>
    <w:bookmarkStart w:id="21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individual-level data, no interaction with people and no identifiable private information, so it was not human</w:t>
      </w:r>
      <w:r>
        <w:t xml:space="preserve"> </w:t>
      </w:r>
      <w:r>
        <w:t xml:space="preserve">participants research, and ethics committee or institutional review board approval and informed consent were not</w:t>
      </w:r>
      <w:r>
        <w:t xml:space="preserve"> </w:t>
      </w:r>
      <w:r>
        <w:t xml:space="preserve">required.</w:t>
      </w:r>
    </w:p>
    <w:bookmarkEnd w:id="21"/>
    <w:bookmarkEnd w:id="22"/>
    <w:bookmarkStart w:id="40" w:name="results"/>
    <w:p>
      <w:pPr>
        <w:pStyle w:val="Heading1"/>
      </w:pPr>
      <w:r>
        <w:t xml:space="preserve">Results</w:t>
      </w:r>
    </w:p>
    <w:bookmarkStart w:id="26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Supplement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24" name="Picture"/>
            <a:graphic>
              <a:graphicData uri="http://schemas.openxmlformats.org/drawingml/2006/picture">
                <pic:pic>
                  <pic:nvPicPr>
                    <pic:cNvPr descr="figures/figure1-flo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26"/>
    <w:bookmarkStart w:id="30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 savings. The decomposition qualifies that reading.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Supplement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28" name="Picture"/>
            <a:graphic>
              <a:graphicData uri="http://schemas.openxmlformats.org/drawingml/2006/picture">
                <pic:pic>
                  <pic:nvPicPr>
                    <pic:cNvPr descr="figures/figure2-comparis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30"/>
    <w:bookmarkStart w:id="34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Supplement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32" name="Picture"/>
            <a:graphic>
              <a:graphicData uri="http://schemas.openxmlformats.org/drawingml/2006/picture">
                <pic:pic>
                  <pic:nvPicPr>
                    <pic:cNvPr descr="figures/figure3-decision-mode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Decision model of early renewal among BASIC-track ACOs (H3). Points are posterior means and lines 95% credible intervals; the shaded band is the Normal(0, 1) prior’s central 95%. Bold labels mark the core predictors.</w:t>
      </w:r>
    </w:p>
    <w:bookmarkEnd w:id="34"/>
    <w:bookmarkStart w:id="38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Supplement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36" name="Picture"/>
            <a:graphic>
              <a:graphicData uri="http://schemas.openxmlformats.org/drawingml/2006/picture">
                <pic:pic>
                  <pic:nvPicPr>
                    <pic:cNvPr descr="figures/figure4-spending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38"/>
    <w:bookmarkStart w:id="39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Supplement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Supplement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.09; H1,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Supplement 1).</w:t>
      </w:r>
    </w:p>
    <w:p>
      <w:pPr>
        <w:pStyle w:val="BodyText"/>
      </w:pPr>
      <w:r>
        <w:t xml:space="preserve">Among the exploratory analyses (eTables 9-11 in Supplement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39"/>
    <w:bookmarkEnd w:id="40"/>
    <w:bookmarkStart w:id="4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CMS’s published 2022 benchmarks, examined post hoc, agree.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Start w:id="41" w:name="comparison-with-earlier-work"/>
    <w:p>
      <w:pPr>
        <w:pStyle w:val="Heading2"/>
      </w:pPr>
      <w:r>
        <w:t xml:space="preserve">Comparison with earlier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An industry analysis of the same rebasing cohort found that ACOs rebasing early in 2022 had higher gross</w:t>
      </w:r>
      <w:r>
        <w:t xml:space="preserve"> </w:t>
      </w:r>
      <w:r>
        <w:t xml:space="preserve">savings rates beforehand and that the earlier incumbents among them moved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consistent with</w:t>
      </w:r>
      <w:r>
        <w:t xml:space="preserve"> </w:t>
      </w:r>
      <w:r>
        <w:t xml:space="preserve">H1 and the BASIC-level association here.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41"/>
    <w:bookmarkStart w:id="42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The 2024 rules also offer a test: 34</w:t>
      </w:r>
      <w:r>
        <w:t xml:space="preserve"> </w:t>
      </w:r>
      <w:r>
        <w:t xml:space="preserve">stayers renewed early into 2024 agreements under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42"/>
    <w:bookmarkStart w:id="4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H2 and H3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43"/>
    <w:bookmarkStart w:id="44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and in CMS’s published 2022 benchmarks examined post hoc, the reset did not on average raise their</w:t>
      </w:r>
      <w:r>
        <w:t xml:space="preserve"> </w:t>
      </w:r>
      <w:r>
        <w:t xml:space="preserve">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44"/>
    <w:bookmarkEnd w:id="45"/>
    <w:bookmarkStart w:id="48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The list of</w:t>
      </w:r>
      <w:r>
        <w:t xml:space="preserve"> </w:t>
      </w:r>
      <w:r>
        <w:t xml:space="preserve">the 40 files downloaded, with sizes, SHA-256 hashes and URLs, and a script that downloads and verifies them are in the</w:t>
      </w:r>
      <w:r>
        <w:t xml:space="preserve"> </w:t>
      </w:r>
      <w:r>
        <w:t xml:space="preserve">study repository;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 (</w:t>
      </w:r>
      <w:hyperlink r:id="rId46">
        <w:r>
          <w:rPr>
            <w:rStyle w:val="Hyperlink"/>
          </w:rPr>
          <w:t xml:space="preserve">https://github.com/stharrold/mssp-paper-2026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registered analysis code (commit a4064f5), its tests and step-by-step instructions to</w:t>
      </w:r>
      <w:r>
        <w:t xml:space="preserve"> </w:t>
      </w:r>
      <w:r>
        <w:t xml:space="preserve">rerun and adapt the analysis are at</w:t>
      </w:r>
      <w:r>
        <w:t xml:space="preserve"> </w:t>
      </w:r>
      <w:hyperlink r:id="rId47">
        <w:r>
          <w:rPr>
            <w:rStyle w:val="Hyperlink"/>
          </w:rPr>
          <w:t xml:space="preserve">https://github.com/stharrold/stharrold.github.io</w:t>
        </w:r>
      </w:hyperlink>
      <w:r>
        <w:t xml:space="preserve"> </w:t>
      </w:r>
      <w:r>
        <w:t xml:space="preserve">(directory</w:t>
      </w:r>
      <w:r>
        <w:t xml:space="preserve"> </w:t>
      </w:r>
      <w:r>
        <w:t xml:space="preserve">analysis/mssp-benchmark-ratchet).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 longer account of the study for a general audience was published</w:t>
      </w:r>
      <w:r>
        <w:t xml:space="preserve"> </w:t>
      </w:r>
      <w:r>
        <w:t xml:space="preserve">online.</w:t>
      </w:r>
      <w:r>
        <w:t xml:space="preserve">[</w:t>
      </w:r>
      <w:hyperlink w:anchor="ref-post">
        <w:r>
          <w:rPr>
            <w:rStyle w:val="Hyperlink"/>
          </w:rPr>
          <w:t xml:space="preserve">59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study received no funding.</w:t>
      </w:r>
    </w:p>
    <w:p>
      <w:pPr>
        <w:pStyle w:val="BodyText"/>
      </w:pPr>
      <w:r>
        <w:rPr>
          <w:b/>
          <w:bCs/>
        </w:rPr>
        <w:t xml:space="preserve">Competing interests:</w:t>
      </w:r>
      <w:r>
        <w:t xml:space="preserve"> </w:t>
      </w:r>
      <w:r>
        <w:t xml:space="preserve">The author is employed as a data scientist at Indiana University Health. This study was</w:t>
      </w:r>
      <w:r>
        <w:t xml:space="preserve"> </w:t>
      </w:r>
      <w:r>
        <w:t xml:space="preserve">conducted independently of that employment, using only public data, and Indiana University Health had no role in its</w:t>
      </w:r>
      <w:r>
        <w:t xml:space="preserve"> </w:t>
      </w:r>
      <w:r>
        <w:t xml:space="preserve">design, analysis, interpretation or reporting. The author declares no other competing interests.</w:t>
      </w:r>
    </w:p>
    <w:p>
      <w:pPr>
        <w:pStyle w:val="BodyText"/>
      </w:pPr>
      <w:r>
        <w:rPr>
          <w:b/>
          <w:bCs/>
        </w:rPr>
        <w:t xml:space="preserve">Disclaimer:</w:t>
      </w:r>
      <w:r>
        <w:t xml:space="preserve"> </w:t>
      </w:r>
      <w:r>
        <w:t xml:space="preserve">The views expressed are the author’s own and do not represent the official positions of Indiana</w:t>
      </w:r>
      <w:r>
        <w:t xml:space="preserve"> </w:t>
      </w:r>
      <w:r>
        <w:t xml:space="preserve">University Health.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STH conceived and designed the study, registered the plan, acquired the data, ran the</w:t>
      </w:r>
      <w:r>
        <w:t xml:space="preserve"> </w:t>
      </w:r>
      <w:r>
        <w:t xml:space="preserve">analysis, interpreted the results, drafted and revised the manuscript, and is accountable for all aspects of the work.</w:t>
      </w:r>
    </w:p>
    <w:p>
      <w:pPr>
        <w:pStyle w:val="BodyText"/>
      </w:pPr>
      <w:r>
        <w:rPr>
          <w:b/>
          <w:bCs/>
        </w:rPr>
        <w:t xml:space="preserve">Use of artificial intelligence:</w:t>
      </w:r>
      <w:r>
        <w:t xml:space="preserve"> </w:t>
      </w:r>
      <w:r>
        <w:t xml:space="preserve">The author chose the question, hypotheses and decision rules, approved and</w:t>
      </w:r>
      <w:r>
        <w:t xml:space="preserve"> </w:t>
      </w:r>
      <w:r>
        <w:t xml:space="preserve">registered the plan, ran the analysis, and is responsible for the results and this manuscript. Claude Code (Claude</w:t>
      </w:r>
      <w:r>
        <w:t xml:space="preserve"> </w:t>
      </w:r>
      <w:r>
        <w:t xml:space="preserve">Opus 5.5; Anthropic) drafted the analysis code, the scripts that generate this manuscript’s tables and figures, and</w:t>
      </w:r>
      <w:r>
        <w:t xml:space="preserve"> </w:t>
      </w:r>
      <w:r>
        <w:t xml:space="preserve">parts of the text under the author’s direction, and separate instances reviewed the plan, the code and the</w:t>
      </w:r>
      <w:r>
        <w:t xml:space="preserve"> </w:t>
      </w:r>
      <w:r>
        <w:t xml:space="preserve">manuscript. The author reviewed and edited all output and verified the numbers against the results files.</w:t>
      </w:r>
    </w:p>
    <w:bookmarkEnd w:id="48"/>
    <w:bookmarkStart w:id="167" w:name="references"/>
    <w:p>
      <w:pPr>
        <w:pStyle w:val="Heading1"/>
      </w:pPr>
      <w:r>
        <w:t xml:space="preserve">References</w:t>
      </w:r>
    </w:p>
    <w:bookmarkStart w:id="166" w:name="refs"/>
    <w:bookmarkStart w:id="50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49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50"/>
    <w:bookmarkStart w:id="52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51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52"/>
    <w:bookmarkStart w:id="54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53">
        <w:r>
          <w:rPr>
            <w:rStyle w:val="Hyperlink"/>
          </w:rPr>
          <w:t xml:space="preserve">10.1056/nejmsa1600142</w:t>
        </w:r>
      </w:hyperlink>
    </w:p>
    <w:bookmarkEnd w:id="54"/>
    <w:bookmarkStart w:id="56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55">
        <w:r>
          <w:rPr>
            <w:rStyle w:val="Hyperlink"/>
          </w:rPr>
          <w:t xml:space="preserve">10.1056/nejmsa1803388</w:t>
        </w:r>
      </w:hyperlink>
    </w:p>
    <w:bookmarkEnd w:id="56"/>
    <w:bookmarkStart w:id="58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57">
        <w:r>
          <w:rPr>
            <w:rStyle w:val="Hyperlink"/>
          </w:rPr>
          <w:t xml:space="preserve">10.1001/jama.2025.3870</w:t>
        </w:r>
      </w:hyperlink>
    </w:p>
    <w:bookmarkEnd w:id="58"/>
    <w:bookmarkStart w:id="60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59">
        <w:r>
          <w:rPr>
            <w:rStyle w:val="Hyperlink"/>
          </w:rPr>
          <w:t xml:space="preserve">10.1111/1468-0009.12468</w:t>
        </w:r>
      </w:hyperlink>
    </w:p>
    <w:bookmarkEnd w:id="60"/>
    <w:bookmarkStart w:id="62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61">
        <w:r>
          <w:rPr>
            <w:rStyle w:val="Hyperlink"/>
          </w:rPr>
          <w:t xml:space="preserve">10.7326/m18-2539</w:t>
        </w:r>
      </w:hyperlink>
    </w:p>
    <w:bookmarkEnd w:id="62"/>
    <w:bookmarkStart w:id="64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63">
        <w:r>
          <w:rPr>
            <w:rStyle w:val="Hyperlink"/>
          </w:rPr>
          <w:t xml:space="preserve">10.1377/hlthaff.2018.05407</w:t>
        </w:r>
      </w:hyperlink>
    </w:p>
    <w:bookmarkEnd w:id="64"/>
    <w:bookmarkStart w:id="66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65">
        <w:r>
          <w:rPr>
            <w:rStyle w:val="Hyperlink"/>
          </w:rPr>
          <w:t xml:space="preserve">10.1377/hlthaff.2014.0444</w:t>
        </w:r>
      </w:hyperlink>
    </w:p>
    <w:bookmarkEnd w:id="66"/>
    <w:bookmarkStart w:id="68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67">
        <w:r>
          <w:rPr>
            <w:rStyle w:val="Hyperlink"/>
          </w:rPr>
          <w:t xml:space="preserve">10.1377/hlthaff.2015.1026</w:t>
        </w:r>
      </w:hyperlink>
    </w:p>
    <w:bookmarkEnd w:id="68"/>
    <w:bookmarkStart w:id="70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69">
        <w:r>
          <w:rPr>
            <w:rStyle w:val="Hyperlink"/>
          </w:rPr>
          <w:t xml:space="preserve">10.1377/hlthaff.2022.01061</w:t>
        </w:r>
      </w:hyperlink>
    </w:p>
    <w:bookmarkEnd w:id="70"/>
    <w:bookmarkStart w:id="72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71">
        <w:r>
          <w:rPr>
            <w:rStyle w:val="Hyperlink"/>
          </w:rPr>
          <w:t xml:space="preserve">10.1086/726748</w:t>
        </w:r>
      </w:hyperlink>
    </w:p>
    <w:bookmarkEnd w:id="72"/>
    <w:bookmarkStart w:id="74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73">
        <w:r>
          <w:rPr>
            <w:rStyle w:val="Hyperlink"/>
          </w:rPr>
          <w:t xml:space="preserve">10.1001/jamanetworkopen.2026.0166</w:t>
        </w:r>
      </w:hyperlink>
    </w:p>
    <w:bookmarkEnd w:id="74"/>
    <w:bookmarkStart w:id="76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75">
        <w:r>
          <w:rPr>
            <w:rStyle w:val="Hyperlink"/>
          </w:rPr>
          <w:t xml:space="preserve">10.1377/hlthaff.2018.05097</w:t>
        </w:r>
      </w:hyperlink>
    </w:p>
    <w:bookmarkEnd w:id="76"/>
    <w:bookmarkStart w:id="78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77">
        <w:r>
          <w:rPr>
            <w:rStyle w:val="Hyperlink"/>
          </w:rPr>
          <w:t xml:space="preserve">10.1111/jrh.12672</w:t>
        </w:r>
      </w:hyperlink>
    </w:p>
    <w:bookmarkEnd w:id="78"/>
    <w:bookmarkStart w:id="80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79">
        <w:r>
          <w:rPr>
            <w:rStyle w:val="Hyperlink"/>
          </w:rPr>
          <w:t xml:space="preserve">10.1007/s11606-022-07947-x</w:t>
        </w:r>
      </w:hyperlink>
    </w:p>
    <w:bookmarkEnd w:id="80"/>
    <w:bookmarkStart w:id="82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81">
        <w:r>
          <w:rPr>
            <w:rStyle w:val="Hyperlink"/>
          </w:rPr>
          <w:t xml:space="preserve">10.1093/haschl/qxad093</w:t>
        </w:r>
      </w:hyperlink>
    </w:p>
    <w:bookmarkEnd w:id="82"/>
    <w:bookmarkStart w:id="84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83">
        <w:r>
          <w:rPr>
            <w:rStyle w:val="Hyperlink"/>
          </w:rPr>
          <w:t xml:space="preserve">10.1007/s11606-020-06424-7</w:t>
        </w:r>
      </w:hyperlink>
    </w:p>
    <w:bookmarkEnd w:id="84"/>
    <w:bookmarkStart w:id="86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85">
        <w:r>
          <w:rPr>
            <w:rStyle w:val="Hyperlink"/>
          </w:rPr>
          <w:t xml:space="preserve">10.1377/hlthaff.2020.01819</w:t>
        </w:r>
      </w:hyperlink>
    </w:p>
    <w:bookmarkEnd w:id="86"/>
    <w:bookmarkStart w:id="88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87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88"/>
    <w:bookmarkStart w:id="90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89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90"/>
    <w:bookmarkStart w:id="92" w:name="ref-milliman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91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92"/>
    <w:bookmarkStart w:id="94" w:name="ref-milliman202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93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94"/>
    <w:bookmarkStart w:id="95" w:name="ref-registration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95"/>
    <w:bookmarkStart w:id="97" w:name="ref-vonelm2007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6">
        <w:r>
          <w:rPr>
            <w:rStyle w:val="Hyperlink"/>
          </w:rPr>
          <w:t xml:space="preserve">10.1371/journal.pmed.0040296</w:t>
        </w:r>
      </w:hyperlink>
    </w:p>
    <w:bookmarkEnd w:id="97"/>
    <w:bookmarkStart w:id="99" w:name="ref-cod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98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99"/>
    <w:bookmarkStart w:id="101" w:name="ref-dataresult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00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01"/>
    <w:bookmarkStart w:id="103" w:name="ref-datacounty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02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03"/>
    <w:bookmarkStart w:id="105" w:name="ref-dataassign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04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05"/>
    <w:bookmarkStart w:id="107" w:name="ref-osfproject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06">
        <w:r>
          <w:rPr>
            <w:rStyle w:val="Hyperlink"/>
          </w:rPr>
          <w:t xml:space="preserve">10.17605/OSF.IO/Z4AN5</w:t>
        </w:r>
      </w:hyperlink>
    </w:p>
    <w:bookmarkEnd w:id="107"/>
    <w:bookmarkStart w:id="109" w:name="ref-suppression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08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09"/>
    <w:bookmarkStart w:id="111" w:name="ref-specv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10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11"/>
    <w:bookmarkStart w:id="113" w:name="ref-cfr42560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12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13"/>
    <w:bookmarkStart w:id="115" w:name="ref-rubin198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14">
        <w:r>
          <w:rPr>
            <w:rStyle w:val="Hyperlink"/>
          </w:rPr>
          <w:t xml:space="preserve">10.1214/aos/1176345338</w:t>
        </w:r>
      </w:hyperlink>
    </w:p>
    <w:bookmarkEnd w:id="115"/>
    <w:bookmarkStart w:id="117" w:name="ref-phipson2010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16">
        <w:r>
          <w:rPr>
            <w:rStyle w:val="Hyperlink"/>
          </w:rPr>
          <w:t xml:space="preserve">10.2202/1544-6115.1585</w:t>
        </w:r>
      </w:hyperlink>
    </w:p>
    <w:bookmarkEnd w:id="117"/>
    <w:bookmarkStart w:id="119" w:name="ref-pymc2023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18">
        <w:r>
          <w:rPr>
            <w:rStyle w:val="Hyperlink"/>
          </w:rPr>
          <w:t xml:space="preserve">10.7717/peerj-cs.1516</w:t>
        </w:r>
      </w:hyperlink>
    </w:p>
    <w:bookmarkEnd w:id="119"/>
    <w:bookmarkStart w:id="121" w:name="ref-hoffman2014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20">
        <w:r>
          <w:rPr>
            <w:rStyle w:val="Hyperlink"/>
          </w:rPr>
          <w:t xml:space="preserve">https://jmlr.org/papers/v15/hoffman14a.html</w:t>
        </w:r>
      </w:hyperlink>
    </w:p>
    <w:bookmarkEnd w:id="121"/>
    <w:bookmarkStart w:id="123" w:name="ref-gelman2008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22">
        <w:r>
          <w:rPr>
            <w:rStyle w:val="Hyperlink"/>
          </w:rPr>
          <w:t xml:space="preserve">10.1002/sim.3107</w:t>
        </w:r>
      </w:hyperlink>
    </w:p>
    <w:bookmarkEnd w:id="123"/>
    <w:bookmarkStart w:id="125" w:name="ref-vehtari2021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24">
        <w:r>
          <w:rPr>
            <w:rStyle w:val="Hyperlink"/>
          </w:rPr>
          <w:t xml:space="preserve">10.1214/20-ba1221</w:t>
        </w:r>
      </w:hyperlink>
    </w:p>
    <w:bookmarkEnd w:id="125"/>
    <w:bookmarkStart w:id="127" w:name="ref-firth199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26">
        <w:r>
          <w:rPr>
            <w:rStyle w:val="Hyperlink"/>
          </w:rPr>
          <w:t xml:space="preserve">10.1093/biomet/80.1.27</w:t>
        </w:r>
      </w:hyperlink>
    </w:p>
    <w:bookmarkEnd w:id="127"/>
    <w:bookmarkStart w:id="129" w:name="ref-firthmodels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28">
        <w:r>
          <w:rPr>
            <w:rStyle w:val="Hyperlink"/>
          </w:rPr>
          <w:t xml:space="preserve">https://github.com/jzluo/firthmodels</w:t>
        </w:r>
      </w:hyperlink>
    </w:p>
    <w:bookmarkEnd w:id="129"/>
    <w:bookmarkStart w:id="131" w:name="ref-gelmanprior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30">
        <w:r>
          <w:rPr>
            <w:rStyle w:val="Hyperlink"/>
          </w:rPr>
          <w:t xml:space="preserve">10.1214/08-aoas191</w:t>
        </w:r>
      </w:hyperlink>
    </w:p>
    <w:bookmarkEnd w:id="131"/>
    <w:bookmarkStart w:id="133" w:name="ref-callaway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32">
        <w:r>
          <w:rPr>
            <w:rStyle w:val="Hyperlink"/>
          </w:rPr>
          <w:t xml:space="preserve">10.1016/j.jeconom.2020.12.001</w:t>
        </w:r>
      </w:hyperlink>
    </w:p>
    <w:bookmarkEnd w:id="133"/>
    <w:bookmarkStart w:id="135" w:name="ref-roth2022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34">
        <w:r>
          <w:rPr>
            <w:rStyle w:val="Hyperlink"/>
          </w:rPr>
          <w:t xml:space="preserve">10.1257/aeri.20210236</w:t>
        </w:r>
      </w:hyperlink>
    </w:p>
    <w:bookmarkEnd w:id="135"/>
    <w:bookmarkStart w:id="137" w:name="ref-lakens201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36">
        <w:r>
          <w:rPr>
            <w:rStyle w:val="Hyperlink"/>
          </w:rPr>
          <w:t xml:space="preserve">10.1177/1948550617697177</w:t>
        </w:r>
      </w:hyperlink>
    </w:p>
    <w:bookmarkEnd w:id="137"/>
    <w:bookmarkStart w:id="139" w:name="ref-rambachan2023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38">
        <w:r>
          <w:rPr>
            <w:rStyle w:val="Hyperlink"/>
          </w:rPr>
          <w:t xml:space="preserve">10.1093/restud/rdad018</w:t>
        </w:r>
      </w:hyperlink>
    </w:p>
    <w:bookmarkEnd w:id="139"/>
    <w:bookmarkStart w:id="141" w:name="ref-rosenbaum1983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40">
        <w:r>
          <w:rPr>
            <w:rStyle w:val="Hyperlink"/>
          </w:rPr>
          <w:t xml:space="preserve">10.1093/biomet/70.1.41</w:t>
        </w:r>
      </w:hyperlink>
    </w:p>
    <w:bookmarkEnd w:id="141"/>
    <w:bookmarkStart w:id="143" w:name="ref-welch1947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42">
        <w:r>
          <w:rPr>
            <w:rStyle w:val="Hyperlink"/>
          </w:rPr>
          <w:t xml:space="preserve">10.1093/biomet/34.1-2.28</w:t>
        </w:r>
      </w:hyperlink>
    </w:p>
    <w:bookmarkEnd w:id="143"/>
    <w:bookmarkStart w:id="145" w:name="ref-mackinnon1985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44">
        <w:r>
          <w:rPr>
            <w:rStyle w:val="Hyperlink"/>
          </w:rPr>
          <w:t xml:space="preserve">10.1016/0304-4076(85)90158-7</w:t>
        </w:r>
      </w:hyperlink>
    </w:p>
    <w:bookmarkEnd w:id="145"/>
    <w:bookmarkStart w:id="147" w:name="ref-statsmodels2010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46">
        <w:r>
          <w:rPr>
            <w:rStyle w:val="Hyperlink"/>
          </w:rPr>
          <w:t xml:space="preserve">10.25080/majora-92bf1922-011</w:t>
        </w:r>
      </w:hyperlink>
    </w:p>
    <w:bookmarkEnd w:id="147"/>
    <w:bookmarkStart w:id="149" w:name="ref-dbt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48">
        <w:r>
          <w:rPr>
            <w:rStyle w:val="Hyperlink"/>
          </w:rPr>
          <w:t xml:space="preserve">https://github.com/dbt-labs/dbt-core</w:t>
        </w:r>
      </w:hyperlink>
    </w:p>
    <w:bookmarkEnd w:id="149"/>
    <w:bookmarkStart w:id="151" w:name="ref-duckdb2019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50">
        <w:r>
          <w:rPr>
            <w:rStyle w:val="Hyperlink"/>
          </w:rPr>
          <w:t xml:space="preserve">10.1145/3299869.3320212</w:t>
        </w:r>
      </w:hyperlink>
    </w:p>
    <w:bookmarkEnd w:id="151"/>
    <w:bookmarkStart w:id="153" w:name="ref-uv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52">
        <w:r>
          <w:rPr>
            <w:rStyle w:val="Hyperlink"/>
          </w:rPr>
          <w:t xml:space="preserve">https://github.com/astral-sh/uv</w:t>
        </w:r>
      </w:hyperlink>
    </w:p>
    <w:bookmarkEnd w:id="153"/>
    <w:bookmarkStart w:id="155" w:name="ref-arviz2019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54">
        <w:r>
          <w:rPr>
            <w:rStyle w:val="Hyperlink"/>
          </w:rPr>
          <w:t xml:space="preserve">10.21105/joss.01143</w:t>
        </w:r>
      </w:hyperlink>
    </w:p>
    <w:bookmarkEnd w:id="155"/>
    <w:bookmarkStart w:id="157" w:name="ref-numpy2020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56">
        <w:r>
          <w:rPr>
            <w:rStyle w:val="Hyperlink"/>
          </w:rPr>
          <w:t xml:space="preserve">10.1038/s41586-020-2649-2</w:t>
        </w:r>
      </w:hyperlink>
    </w:p>
    <w:bookmarkEnd w:id="157"/>
    <w:bookmarkStart w:id="159" w:name="ref-gelmancarlin2014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58">
        <w:r>
          <w:rPr>
            <w:rStyle w:val="Hyperlink"/>
          </w:rPr>
          <w:t xml:space="preserve">10.1177/1745691614551642</w:t>
        </w:r>
      </w:hyperlink>
    </w:p>
    <w:bookmarkEnd w:id="159"/>
    <w:bookmarkStart w:id="161" w:name="ref-cfr2024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60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61"/>
    <w:bookmarkStart w:id="163" w:name="ref-aha2021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62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63"/>
    <w:bookmarkStart w:id="165" w:name="ref-post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64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89" Target="https://data.cms.gov/medicare-shared-savings-program/accountable-care-organizations" TargetMode="External" /><Relationship Type="http://schemas.openxmlformats.org/officeDocument/2006/relationships/hyperlink" Id="rId102" Target="https://data.cms.gov/medicare-shared-savings-program/county-level-aggregate-expenditure-and-risk-score-data-on-assignable-beneficiaries" TargetMode="External" /><Relationship Type="http://schemas.openxmlformats.org/officeDocument/2006/relationships/hyperlink" Id="rId104" Target="https://data.cms.gov/medicare-shared-savings-program/number-of-accountable-care-organization-assigned-beneficiaries-by-county" TargetMode="External" /><Relationship Type="http://schemas.openxmlformats.org/officeDocument/2006/relationships/hyperlink" Id="rId100" Target="https://data.cms.gov/medicare-shared-savings-program/performance-year-financial-and-quality-results" TargetMode="External" /><Relationship Type="http://schemas.openxmlformats.org/officeDocument/2006/relationships/hyperlink" Id="rId57" Target="https://doi.org/10.1001/jama.2025.3870" TargetMode="External" /><Relationship Type="http://schemas.openxmlformats.org/officeDocument/2006/relationships/hyperlink" Id="rId73" Target="https://doi.org/10.1001/jamanetworkopen.2026.0166" TargetMode="External" /><Relationship Type="http://schemas.openxmlformats.org/officeDocument/2006/relationships/hyperlink" Id="rId122" Target="https://doi.org/10.1002/sim.3107" TargetMode="External" /><Relationship Type="http://schemas.openxmlformats.org/officeDocument/2006/relationships/hyperlink" Id="rId83" Target="https://doi.org/10.1007/s11606-020-06424-7" TargetMode="External" /><Relationship Type="http://schemas.openxmlformats.org/officeDocument/2006/relationships/hyperlink" Id="rId79" Target="https://doi.org/10.1007/s11606-022-07947-x" TargetMode="External" /><Relationship Type="http://schemas.openxmlformats.org/officeDocument/2006/relationships/hyperlink" Id="rId144" Target="https://doi.org/10.1016/0304-4076(85)90158-7" TargetMode="External" /><Relationship Type="http://schemas.openxmlformats.org/officeDocument/2006/relationships/hyperlink" Id="rId132" Target="https://doi.org/10.1016/j.jeconom.2020.12.001" TargetMode="External" /><Relationship Type="http://schemas.openxmlformats.org/officeDocument/2006/relationships/hyperlink" Id="rId156" Target="https://doi.org/10.1038/s41586-020-2649-2" TargetMode="External" /><Relationship Type="http://schemas.openxmlformats.org/officeDocument/2006/relationships/hyperlink" Id="rId53" Target="https://doi.org/10.1056/nejmsa1600142" TargetMode="External" /><Relationship Type="http://schemas.openxmlformats.org/officeDocument/2006/relationships/hyperlink" Id="rId55" Target="https://doi.org/10.1056/nejmsa1803388" TargetMode="External" /><Relationship Type="http://schemas.openxmlformats.org/officeDocument/2006/relationships/hyperlink" Id="rId71" Target="https://doi.org/10.1086/726748" TargetMode="External" /><Relationship Type="http://schemas.openxmlformats.org/officeDocument/2006/relationships/hyperlink" Id="rId142" Target="https://doi.org/10.1093/biomet/34.1-2.28" TargetMode="External" /><Relationship Type="http://schemas.openxmlformats.org/officeDocument/2006/relationships/hyperlink" Id="rId140" Target="https://doi.org/10.1093/biomet/70.1.41" TargetMode="External" /><Relationship Type="http://schemas.openxmlformats.org/officeDocument/2006/relationships/hyperlink" Id="rId126" Target="https://doi.org/10.1093/biomet/80.1.27" TargetMode="External" /><Relationship Type="http://schemas.openxmlformats.org/officeDocument/2006/relationships/hyperlink" Id="rId81" Target="https://doi.org/10.1093/haschl/qxad093" TargetMode="External" /><Relationship Type="http://schemas.openxmlformats.org/officeDocument/2006/relationships/hyperlink" Id="rId138" Target="https://doi.org/10.1093/restud/rdad018" TargetMode="External" /><Relationship Type="http://schemas.openxmlformats.org/officeDocument/2006/relationships/hyperlink" Id="rId59" Target="https://doi.org/10.1111/1468-0009.12468" TargetMode="External" /><Relationship Type="http://schemas.openxmlformats.org/officeDocument/2006/relationships/hyperlink" Id="rId77" Target="https://doi.org/10.1111/jrh.12672" TargetMode="External" /><Relationship Type="http://schemas.openxmlformats.org/officeDocument/2006/relationships/hyperlink" Id="rId150" Target="https://doi.org/10.1145/3299869.3320212" TargetMode="External" /><Relationship Type="http://schemas.openxmlformats.org/officeDocument/2006/relationships/hyperlink" Id="rId158" Target="https://doi.org/10.1177/1745691614551642" TargetMode="External" /><Relationship Type="http://schemas.openxmlformats.org/officeDocument/2006/relationships/hyperlink" Id="rId136" Target="https://doi.org/10.1177/1948550617697177" TargetMode="External" /><Relationship Type="http://schemas.openxmlformats.org/officeDocument/2006/relationships/hyperlink" Id="rId130" Target="https://doi.org/10.1214/08-aoas191" TargetMode="External" /><Relationship Type="http://schemas.openxmlformats.org/officeDocument/2006/relationships/hyperlink" Id="rId124" Target="https://doi.org/10.1214/20-ba1221" TargetMode="External" /><Relationship Type="http://schemas.openxmlformats.org/officeDocument/2006/relationships/hyperlink" Id="rId114" Target="https://doi.org/10.1214/aos/1176345338" TargetMode="External" /><Relationship Type="http://schemas.openxmlformats.org/officeDocument/2006/relationships/hyperlink" Id="rId134" Target="https://doi.org/10.1257/aeri.20210236" TargetMode="External" /><Relationship Type="http://schemas.openxmlformats.org/officeDocument/2006/relationships/hyperlink" Id="rId96" Target="https://doi.org/10.1371/journal.pmed.0040296" TargetMode="External" /><Relationship Type="http://schemas.openxmlformats.org/officeDocument/2006/relationships/hyperlink" Id="rId65" Target="https://doi.org/10.1377/hlthaff.2014.0444" TargetMode="External" /><Relationship Type="http://schemas.openxmlformats.org/officeDocument/2006/relationships/hyperlink" Id="rId67" Target="https://doi.org/10.1377/hlthaff.2015.1026" TargetMode="External" /><Relationship Type="http://schemas.openxmlformats.org/officeDocument/2006/relationships/hyperlink" Id="rId75" Target="https://doi.org/10.1377/hlthaff.2018.05097" TargetMode="External" /><Relationship Type="http://schemas.openxmlformats.org/officeDocument/2006/relationships/hyperlink" Id="rId63" Target="https://doi.org/10.1377/hlthaff.2018.05407" TargetMode="External" /><Relationship Type="http://schemas.openxmlformats.org/officeDocument/2006/relationships/hyperlink" Id="rId85" Target="https://doi.org/10.1377/hlthaff.2020.01819" TargetMode="External" /><Relationship Type="http://schemas.openxmlformats.org/officeDocument/2006/relationships/hyperlink" Id="rId6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6" Target="https://doi.org/10.17605/OSF.IO/Z4AN5" TargetMode="External" /><Relationship Type="http://schemas.openxmlformats.org/officeDocument/2006/relationships/hyperlink" Id="rId154" Target="https://doi.org/10.21105/joss.01143" TargetMode="External" /><Relationship Type="http://schemas.openxmlformats.org/officeDocument/2006/relationships/hyperlink" Id="rId116" Target="https://doi.org/10.2202/1544-6115.1585" TargetMode="External" /><Relationship Type="http://schemas.openxmlformats.org/officeDocument/2006/relationships/hyperlink" Id="rId146" Target="https://doi.org/10.25080/majora-92bf1922-011" TargetMode="External" /><Relationship Type="http://schemas.openxmlformats.org/officeDocument/2006/relationships/hyperlink" Id="rId61" Target="https://doi.org/10.7326/m18-2539" TargetMode="External" /><Relationship Type="http://schemas.openxmlformats.org/officeDocument/2006/relationships/hyperlink" Id="rId118" Target="https://doi.org/10.7717/peerj-cs.1516" TargetMode="External" /><Relationship Type="http://schemas.openxmlformats.org/officeDocument/2006/relationships/hyperlink" Id="rId9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52" Target="https://github.com/astral-sh/uv" TargetMode="External" /><Relationship Type="http://schemas.openxmlformats.org/officeDocument/2006/relationships/hyperlink" Id="rId148" Target="https://github.com/dbt-labs/dbt-core" TargetMode="External" /><Relationship Type="http://schemas.openxmlformats.org/officeDocument/2006/relationships/hyperlink" Id="rId128" Target="https://github.com/jzluo/firthmodels" TargetMode="External" /><Relationship Type="http://schemas.openxmlformats.org/officeDocument/2006/relationships/hyperlink" Id="rId46" Target="https://github.com/stharrold/mssp-paper-2026" TargetMode="External" /><Relationship Type="http://schemas.openxmlformats.org/officeDocument/2006/relationships/hyperlink" Id="rId47" Target="https://github.com/stharrold/stharrold.github.io" TargetMode="External" /><Relationship Type="http://schemas.openxmlformats.org/officeDocument/2006/relationships/hyperlink" Id="rId98" Target="https://github.com/stharrold/stharrold.github.io/tree/a4064f592a492d971ce3c27e95afb3050e6bc01d/analysis/mssp-benchmark-ratchet" TargetMode="External" /><Relationship Type="http://schemas.openxmlformats.org/officeDocument/2006/relationships/hyperlink" Id="rId120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64" Target="https://stharrold.github.io/20261027-preregistered-mssp-early-renewal.html" TargetMode="External" /><Relationship Type="http://schemas.openxmlformats.org/officeDocument/2006/relationships/hyperlink" Id="rId108" Target="https://web.archive.org/web/20250516214605/https://www.hhs.gov/guidance/document/cms-cell-suppression-policy" TargetMode="External" /><Relationship Type="http://schemas.openxmlformats.org/officeDocument/2006/relationships/hyperlink" Id="rId162" Target="https://www.aha.org/lettercomment/2021-10-14-aha-others-cms-re-request-provide-mssp-acos-option-use-pre-pandemic-years" TargetMode="External" /><Relationship Type="http://schemas.openxmlformats.org/officeDocument/2006/relationships/hyperlink" Id="rId110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9" Target="https://www.ecfr.gov/on/2022-01-01/title-42/chapter-IV/subchapter-B/part-425" TargetMode="External" /><Relationship Type="http://schemas.openxmlformats.org/officeDocument/2006/relationships/hyperlink" Id="rId112" Target="https://www.ecfr.gov/on/2022-01-01/title-42/chapter-IV/subchapter-B/part-425/subpart-G/section-425.600#p-425.600%28d%29" TargetMode="External" /><Relationship Type="http://schemas.openxmlformats.org/officeDocument/2006/relationships/hyperlink" Id="rId51" Target="https://www.ecfr.gov/on/2022-01-01/title-42/chapter-IV/subchapter-B/part-425/subpart-G/section-425.601" TargetMode="External" /><Relationship Type="http://schemas.openxmlformats.org/officeDocument/2006/relationships/hyperlink" Id="rId160" Target="https://www.ecfr.gov/on/2024-01-01/title-42/chapter-IV/subchapter-B/part-425/subpart-G/section-425.652" TargetMode="External" /><Relationship Type="http://schemas.openxmlformats.org/officeDocument/2006/relationships/hyperlink" Id="rId8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91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s://data.cms.gov/medicare-shared-savings-program/accountable-care-organizations" TargetMode="External" /><Relationship Type="http://schemas.openxmlformats.org/officeDocument/2006/relationships/hyperlink" Id="rId102" Target="https://data.cms.gov/medicare-shared-savings-program/county-level-aggregate-expenditure-and-risk-score-data-on-assignable-beneficiaries" TargetMode="External" /><Relationship Type="http://schemas.openxmlformats.org/officeDocument/2006/relationships/hyperlink" Id="rId104" Target="https://data.cms.gov/medicare-shared-savings-program/number-of-accountable-care-organization-assigned-beneficiaries-by-county" TargetMode="External" /><Relationship Type="http://schemas.openxmlformats.org/officeDocument/2006/relationships/hyperlink" Id="rId100" Target="https://data.cms.gov/medicare-shared-savings-program/performance-year-financial-and-quality-results" TargetMode="External" /><Relationship Type="http://schemas.openxmlformats.org/officeDocument/2006/relationships/hyperlink" Id="rId57" Target="https://doi.org/10.1001/jama.2025.3870" TargetMode="External" /><Relationship Type="http://schemas.openxmlformats.org/officeDocument/2006/relationships/hyperlink" Id="rId73" Target="https://doi.org/10.1001/jamanetworkopen.2026.0166" TargetMode="External" /><Relationship Type="http://schemas.openxmlformats.org/officeDocument/2006/relationships/hyperlink" Id="rId122" Target="https://doi.org/10.1002/sim.3107" TargetMode="External" /><Relationship Type="http://schemas.openxmlformats.org/officeDocument/2006/relationships/hyperlink" Id="rId83" Target="https://doi.org/10.1007/s11606-020-06424-7" TargetMode="External" /><Relationship Type="http://schemas.openxmlformats.org/officeDocument/2006/relationships/hyperlink" Id="rId79" Target="https://doi.org/10.1007/s11606-022-07947-x" TargetMode="External" /><Relationship Type="http://schemas.openxmlformats.org/officeDocument/2006/relationships/hyperlink" Id="rId144" Target="https://doi.org/10.1016/0304-4076(85)90158-7" TargetMode="External" /><Relationship Type="http://schemas.openxmlformats.org/officeDocument/2006/relationships/hyperlink" Id="rId132" Target="https://doi.org/10.1016/j.jeconom.2020.12.001" TargetMode="External" /><Relationship Type="http://schemas.openxmlformats.org/officeDocument/2006/relationships/hyperlink" Id="rId156" Target="https://doi.org/10.1038/s41586-020-2649-2" TargetMode="External" /><Relationship Type="http://schemas.openxmlformats.org/officeDocument/2006/relationships/hyperlink" Id="rId53" Target="https://doi.org/10.1056/nejmsa1600142" TargetMode="External" /><Relationship Type="http://schemas.openxmlformats.org/officeDocument/2006/relationships/hyperlink" Id="rId55" Target="https://doi.org/10.1056/nejmsa1803388" TargetMode="External" /><Relationship Type="http://schemas.openxmlformats.org/officeDocument/2006/relationships/hyperlink" Id="rId71" Target="https://doi.org/10.1086/726748" TargetMode="External" /><Relationship Type="http://schemas.openxmlformats.org/officeDocument/2006/relationships/hyperlink" Id="rId142" Target="https://doi.org/10.1093/biomet/34.1-2.28" TargetMode="External" /><Relationship Type="http://schemas.openxmlformats.org/officeDocument/2006/relationships/hyperlink" Id="rId140" Target="https://doi.org/10.1093/biomet/70.1.41" TargetMode="External" /><Relationship Type="http://schemas.openxmlformats.org/officeDocument/2006/relationships/hyperlink" Id="rId126" Target="https://doi.org/10.1093/biomet/80.1.27" TargetMode="External" /><Relationship Type="http://schemas.openxmlformats.org/officeDocument/2006/relationships/hyperlink" Id="rId81" Target="https://doi.org/10.1093/haschl/qxad093" TargetMode="External" /><Relationship Type="http://schemas.openxmlformats.org/officeDocument/2006/relationships/hyperlink" Id="rId138" Target="https://doi.org/10.1093/restud/rdad018" TargetMode="External" /><Relationship Type="http://schemas.openxmlformats.org/officeDocument/2006/relationships/hyperlink" Id="rId59" Target="https://doi.org/10.1111/1468-0009.12468" TargetMode="External" /><Relationship Type="http://schemas.openxmlformats.org/officeDocument/2006/relationships/hyperlink" Id="rId77" Target="https://doi.org/10.1111/jrh.12672" TargetMode="External" /><Relationship Type="http://schemas.openxmlformats.org/officeDocument/2006/relationships/hyperlink" Id="rId150" Target="https://doi.org/10.1145/3299869.3320212" TargetMode="External" /><Relationship Type="http://schemas.openxmlformats.org/officeDocument/2006/relationships/hyperlink" Id="rId158" Target="https://doi.org/10.1177/1745691614551642" TargetMode="External" /><Relationship Type="http://schemas.openxmlformats.org/officeDocument/2006/relationships/hyperlink" Id="rId136" Target="https://doi.org/10.1177/1948550617697177" TargetMode="External" /><Relationship Type="http://schemas.openxmlformats.org/officeDocument/2006/relationships/hyperlink" Id="rId130" Target="https://doi.org/10.1214/08-aoas191" TargetMode="External" /><Relationship Type="http://schemas.openxmlformats.org/officeDocument/2006/relationships/hyperlink" Id="rId124" Target="https://doi.org/10.1214/20-ba1221" TargetMode="External" /><Relationship Type="http://schemas.openxmlformats.org/officeDocument/2006/relationships/hyperlink" Id="rId114" Target="https://doi.org/10.1214/aos/1176345338" TargetMode="External" /><Relationship Type="http://schemas.openxmlformats.org/officeDocument/2006/relationships/hyperlink" Id="rId134" Target="https://doi.org/10.1257/aeri.20210236" TargetMode="External" /><Relationship Type="http://schemas.openxmlformats.org/officeDocument/2006/relationships/hyperlink" Id="rId96" Target="https://doi.org/10.1371/journal.pmed.0040296" TargetMode="External" /><Relationship Type="http://schemas.openxmlformats.org/officeDocument/2006/relationships/hyperlink" Id="rId65" Target="https://doi.org/10.1377/hlthaff.2014.0444" TargetMode="External" /><Relationship Type="http://schemas.openxmlformats.org/officeDocument/2006/relationships/hyperlink" Id="rId67" Target="https://doi.org/10.1377/hlthaff.2015.1026" TargetMode="External" /><Relationship Type="http://schemas.openxmlformats.org/officeDocument/2006/relationships/hyperlink" Id="rId75" Target="https://doi.org/10.1377/hlthaff.2018.05097" TargetMode="External" /><Relationship Type="http://schemas.openxmlformats.org/officeDocument/2006/relationships/hyperlink" Id="rId63" Target="https://doi.org/10.1377/hlthaff.2018.05407" TargetMode="External" /><Relationship Type="http://schemas.openxmlformats.org/officeDocument/2006/relationships/hyperlink" Id="rId85" Target="https://doi.org/10.1377/hlthaff.2020.01819" TargetMode="External" /><Relationship Type="http://schemas.openxmlformats.org/officeDocument/2006/relationships/hyperlink" Id="rId6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06" Target="https://doi.org/10.17605/OSF.IO/Z4AN5" TargetMode="External" /><Relationship Type="http://schemas.openxmlformats.org/officeDocument/2006/relationships/hyperlink" Id="rId154" Target="https://doi.org/10.21105/joss.01143" TargetMode="External" /><Relationship Type="http://schemas.openxmlformats.org/officeDocument/2006/relationships/hyperlink" Id="rId116" Target="https://doi.org/10.2202/1544-6115.1585" TargetMode="External" /><Relationship Type="http://schemas.openxmlformats.org/officeDocument/2006/relationships/hyperlink" Id="rId146" Target="https://doi.org/10.25080/majora-92bf1922-011" TargetMode="External" /><Relationship Type="http://schemas.openxmlformats.org/officeDocument/2006/relationships/hyperlink" Id="rId61" Target="https://doi.org/10.7326/m18-2539" TargetMode="External" /><Relationship Type="http://schemas.openxmlformats.org/officeDocument/2006/relationships/hyperlink" Id="rId118" Target="https://doi.org/10.7717/peerj-cs.1516" TargetMode="External" /><Relationship Type="http://schemas.openxmlformats.org/officeDocument/2006/relationships/hyperlink" Id="rId9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52" Target="https://github.com/astral-sh/uv" TargetMode="External" /><Relationship Type="http://schemas.openxmlformats.org/officeDocument/2006/relationships/hyperlink" Id="rId148" Target="https://github.com/dbt-labs/dbt-core" TargetMode="External" /><Relationship Type="http://schemas.openxmlformats.org/officeDocument/2006/relationships/hyperlink" Id="rId128" Target="https://github.com/jzluo/firthmodels" TargetMode="External" /><Relationship Type="http://schemas.openxmlformats.org/officeDocument/2006/relationships/hyperlink" Id="rId46" Target="https://github.com/stharrold/mssp-paper-2026" TargetMode="External" /><Relationship Type="http://schemas.openxmlformats.org/officeDocument/2006/relationships/hyperlink" Id="rId47" Target="https://github.com/stharrold/stharrold.github.io" TargetMode="External" /><Relationship Type="http://schemas.openxmlformats.org/officeDocument/2006/relationships/hyperlink" Id="rId98" Target="https://github.com/stharrold/stharrold.github.io/tree/a4064f592a492d971ce3c27e95afb3050e6bc01d/analysis/mssp-benchmark-ratchet" TargetMode="External" /><Relationship Type="http://schemas.openxmlformats.org/officeDocument/2006/relationships/hyperlink" Id="rId120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64" Target="https://stharrold.github.io/20261027-preregistered-mssp-early-renewal.html" TargetMode="External" /><Relationship Type="http://schemas.openxmlformats.org/officeDocument/2006/relationships/hyperlink" Id="rId108" Target="https://web.archive.org/web/20250516214605/https://www.hhs.gov/guidance/document/cms-cell-suppression-policy" TargetMode="External" /><Relationship Type="http://schemas.openxmlformats.org/officeDocument/2006/relationships/hyperlink" Id="rId162" Target="https://www.aha.org/lettercomment/2021-10-14-aha-others-cms-re-request-provide-mssp-acos-option-use-pre-pandemic-years" TargetMode="External" /><Relationship Type="http://schemas.openxmlformats.org/officeDocument/2006/relationships/hyperlink" Id="rId110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9" Target="https://www.ecfr.gov/on/2022-01-01/title-42/chapter-IV/subchapter-B/part-425" TargetMode="External" /><Relationship Type="http://schemas.openxmlformats.org/officeDocument/2006/relationships/hyperlink" Id="rId112" Target="https://www.ecfr.gov/on/2022-01-01/title-42/chapter-IV/subchapter-B/part-425/subpart-G/section-425.600#p-425.600%28d%29" TargetMode="External" /><Relationship Type="http://schemas.openxmlformats.org/officeDocument/2006/relationships/hyperlink" Id="rId51" Target="https://www.ecfr.gov/on/2022-01-01/title-42/chapter-IV/subchapter-B/part-425/subpart-G/section-425.601" TargetMode="External" /><Relationship Type="http://schemas.openxmlformats.org/officeDocument/2006/relationships/hyperlink" Id="rId160" Target="https://www.ecfr.gov/on/2024-01-01/title-42/chapter-IV/subchapter-B/part-425/subpart-G/section-425.652" TargetMode="External" /><Relationship Type="http://schemas.openxmlformats.org/officeDocument/2006/relationships/hyperlink" Id="rId8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91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did Medicare ACOs reset their benchmarks early? A pre-registered analysis of early renewal in the Medicare Shared Savings Program</dc:title>
  <dc:creator>Samuel Thomas Harrold</dc:creator>
  <dc:language>en-US</dc:language>
  <cp:keywords/>
  <dcterms:created xsi:type="dcterms:W3CDTF">2026-10-27T19:38:24Z</dcterms:created>
  <dcterms:modified xsi:type="dcterms:W3CDTF">2026-10-27T19:38:24Z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Preprint, 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