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 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w:t>
      </w:r>
      <w:r>
        <w:t xml:space="preserve"> </w:t>
      </w:r>
      <m:oMath>
        <m:r>
          <m:t>α</m:t>
        </m:r>
      </m:oMath>
      <w:r>
        <w:t xml:space="preserve"> </w:t>
      </w:r>
      <w:r>
        <w:t xml:space="preserve">=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(pre-registered analysis); Abstract (retrospective cohort study)</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 eTable 1; eTable 12 (post hoc, change scale)</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Discussion,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(all eligible ACOs);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 (scaling by 2 SD)</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None registered; single-cohort restrictions in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Covariate-adjusted estimates,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 (group, cohort, track, case mix, savings rate, constructed variables); the H3 adjustment factors (size, revenue category, assignment method, agreement number) are not in the results files and are not tabulated</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eTable 8 (mean included post-period years by group)</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Early renewal: 29 of 306 compared ACOs (Table 1), 24 of 206 in H3 (Table 3); spending over time: eTable 11</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 eTables 3, 6</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multiplier; dollar translation); eTable 5 (observed and predicted shares by decile)</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3-11</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 Why did Medicare ACOs reset their benchmarks early? A pre-registered analysis of early renewal in the Medicare Shared Savings Program</dc:title>
  <dc:creator>Samuel Thomas Harrold</dc:creator>
  <dc:language>en-US</dc:language>
  <cp:keywords/>
  <dcterms:created xsi:type="dcterms:W3CDTF">2026-10-27T19:38:27Z</dcterms:created>
  <dcterms:modified xsi:type="dcterms:W3CDTF">2026-10-27T19:38:27Z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