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Samuel Thomas Harrold</w:t>
      </w:r>
      <w:r>
        <w:br/>
      </w:r>
      <w:r>
        <w:t xml:space="preserve">Independent researcher</w:t>
      </w:r>
      <w:r>
        <w:br/>
      </w:r>
      <w:r>
        <w:t xml:space="preserve">samuel.harrold@gmail.com</w:t>
      </w:r>
    </w:p>
    <w:p>
      <w:pPr>
        <w:pStyle w:val="BodyText"/>
      </w:pPr>
      <w:r>
        <w:t xml:space="preserve">October 2026</w:t>
      </w:r>
    </w:p>
    <w:p>
      <w:pPr>
        <w:pStyle w:val="BodyText"/>
      </w:pPr>
      <w:r>
        <w:t xml:space="preserve">The Editor</w:t>
      </w:r>
      <w:r>
        <w:br/>
      </w:r>
      <w:r>
        <w:t xml:space="preserve">BMC Health Services Research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Please consider the research article</w:t>
      </w:r>
      <w:r>
        <w:t xml:space="preserve"> </w:t>
      </w:r>
      <w:r>
        <w:t xml:space="preserve">“Early renewal of accountable care organization agreements to reset benchmarks</w:t>
      </w:r>
      <w:r>
        <w:t xml:space="preserve"> </w:t>
      </w:r>
      <w:r>
        <w:t xml:space="preserve">in the Medicare Shared Savings Program: a preregistered retrospective cohort study”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BMC Health Services</w:t>
      </w:r>
      <w:r>
        <w:rPr>
          <w:i/>
          <w:iCs/>
        </w:rPr>
        <w:t xml:space="preserve"> </w:t>
      </w:r>
      <w:r>
        <w:rPr>
          <w:i/>
          <w:iCs/>
        </w:rPr>
        <w:t xml:space="preserve">Research</w:t>
      </w:r>
      <w:r>
        <w:t xml:space="preserve">, for the collection</w:t>
      </w:r>
      <w:r>
        <w:t xml:space="preserve"> </w:t>
      </w:r>
      <w:r>
        <w:t xml:space="preserve">“Implementing value-based care payment models in diverse health systems”</w:t>
      </w:r>
      <w:r>
        <w:t xml:space="preserve">.</w:t>
      </w:r>
    </w:p>
    <w:p>
      <w:pPr>
        <w:pStyle w:val="BodyText"/>
      </w:pPr>
      <w:r>
        <w:t xml:space="preserve">The Medicare Shared Savings Program is Medicare’s largest value-based payment model, and its benchmarks decide whether</w:t>
      </w:r>
      <w:r>
        <w:t xml:space="preserve"> </w:t>
      </w:r>
      <w:r>
        <w:t xml:space="preserve">an accountable care organization earns shared savings. The study evaluates a design feature of that model: the 2019</w:t>
      </w:r>
      <w:r>
        <w:t xml:space="preserve"> </w:t>
      </w:r>
      <w:r>
        <w:t xml:space="preserve">rules let an organization end its agreement early and reset its benchmark, which was also the only way for an</w:t>
      </w:r>
      <w:r>
        <w:t xml:space="preserve"> </w:t>
      </w:r>
      <w:r>
        <w:t xml:space="preserve">organization in the BASIC track to reach the ENHANCED track’s 75% share of savings without waiting for its agreement</w:t>
      </w:r>
      <w:r>
        <w:t xml:space="preserve"> </w:t>
      </w:r>
      <w:r>
        <w:t xml:space="preserve">to end or leaving the program. Twenty-nine of 334 eligible</w:t>
      </w:r>
      <w:r>
        <w:t xml:space="preserve"> </w:t>
      </w:r>
      <w:r>
        <w:t xml:space="preserve">organizations did so in 2022. An industry report described them; to my knowledge no peer-reviewed study has examined</w:t>
      </w:r>
      <w:r>
        <w:t xml:space="preserve"> </w:t>
      </w:r>
      <w:r>
        <w:t xml:space="preserve">why they renewed early.</w:t>
      </w:r>
    </w:p>
    <w:p>
      <w:pPr>
        <w:pStyle w:val="BodyText"/>
      </w:pPr>
      <w:r>
        <w:t xml:space="preserve">The paper responds to the collection’s call for work on the design, implementation, adaptation and evaluation of</w:t>
      </w:r>
      <w:r>
        <w:t xml:space="preserve"> </w:t>
      </w:r>
      <w:r>
        <w:t xml:space="preserve">value-based care payment models, and to its topic of the policy reforms and governance that support implementation. It</w:t>
      </w:r>
      <w:r>
        <w:t xml:space="preserve"> </w:t>
      </w:r>
      <w:r>
        <w:t xml:space="preserve">examines how participating organizations responded</w:t>
      </w:r>
      <w:r>
        <w:t xml:space="preserve"> </w:t>
      </w:r>
      <w:r>
        <w:t xml:space="preserve">once a national program’s redesigned rules were in force: few of those eligible took the early reset, and for most of</w:t>
      </w:r>
      <w:r>
        <w:t xml:space="preserve"> </w:t>
      </w:r>
      <w:r>
        <w:t xml:space="preserve">those who did, renewal also meant moving to a higher share of savings. The study covers one program, in the United</w:t>
      </w:r>
      <w:r>
        <w:t xml:space="preserve"> </w:t>
      </w:r>
      <w:r>
        <w:t xml:space="preserve">States, but the trade-off it documents applies to any shared-savings model that resets benchmarks on an organization’s</w:t>
      </w:r>
      <w:r>
        <w:t xml:space="preserve"> </w:t>
      </w:r>
      <w:r>
        <w:t xml:space="preserve">own past spending, whichever health system runs it.</w:t>
      </w:r>
    </w:p>
    <w:p>
      <w:pPr>
        <w:pStyle w:val="BodyText"/>
      </w:pPr>
      <w:r>
        <w:t xml:space="preserve">The findings bear on how the model’s rules sort participants. The intuitive account, renewing early to raise the</w:t>
      </w:r>
      <w:r>
        <w:t xml:space="preserve"> </w:t>
      </w:r>
      <w:r>
        <w:t xml:space="preserve">benchmark, does not hold on average: early renewers were already beating their benchmarks, so the own-spending part</w:t>
      </w:r>
      <w:r>
        <w:t xml:space="preserve"> </w:t>
      </w:r>
      <w:r>
        <w:t xml:space="preserve">of a reset offset its regional gain, and their published 2022 benchmarks, examined post hoc, averaged 1.3% below the</w:t>
      </w:r>
      <w:r>
        <w:t xml:space="preserve"> </w:t>
      </w:r>
      <w:r>
        <w:t xml:space="preserve">year before. For 26 of 27 early renewers in the BASIC track, renewal was instead the move to the higher sharing rate,</w:t>
      </w:r>
      <w:r>
        <w:t xml:space="preserve"> </w:t>
      </w:r>
      <w:r>
        <w:t xml:space="preserve">the trade the rules were built around; the design cannot separate the two motives, and the paper says so. Spending</w:t>
      </w:r>
      <w:r>
        <w:t xml:space="preserve"> </w:t>
      </w:r>
      <w:r>
        <w:t xml:space="preserve">growth afterward did not differ detectably. The results give a baseline for the rules in force since 2024, which make</w:t>
      </w:r>
      <w:r>
        <w:t xml:space="preserve"> </w:t>
      </w:r>
      <w:r>
        <w:t xml:space="preserve">a reset cheaper for organizations that have saved.</w:t>
      </w:r>
    </w:p>
    <w:p>
      <w:pPr>
        <w:pStyle w:val="BodyText"/>
      </w:pPr>
      <w:r>
        <w:t xml:space="preserve">The methods are built for checking. The plan, decision rules and code were registered on OSF Registries</w:t>
      </w:r>
      <w:r>
        <w:t xml:space="preserve"> </w:t>
      </w:r>
      <w:r>
        <w:t xml:space="preserve">(doi:10.17605/OSF.IO/C53W9) before any outcome data were read, and the code enforced that order. The benchmark Medicare</w:t>
      </w:r>
      <w:r>
        <w:t xml:space="preserve"> </w:t>
      </w:r>
      <w:r>
        <w:t xml:space="preserve">does not publish was rebuilt from the regulation and validated before use. All data are public, and the code, data</w:t>
      </w:r>
      <w:r>
        <w:t xml:space="preserve"> </w:t>
      </w:r>
      <w:r>
        <w:t xml:space="preserve">snapshot and results are archived, so every estimate can be rerun. Every registered conclusion agreed with its</w:t>
      </w:r>
      <w:r>
        <w:t xml:space="preserve"> </w:t>
      </w:r>
      <w:r>
        <w:t xml:space="preserve">conventional frequentist counterpart. The manuscript follows STROBE (Additional file 1).</w:t>
      </w:r>
    </w:p>
    <w:p>
      <w:pPr>
        <w:pStyle w:val="BodyText"/>
      </w:pPr>
      <w:r>
        <w:t xml:space="preserve">Journal policies:</w:t>
      </w:r>
    </w:p>
    <w:p>
      <w:pPr>
        <w:pStyle w:val="Compact"/>
        <w:numPr>
          <w:ilvl w:val="0"/>
          <w:numId w:val="1001"/>
        </w:numPr>
      </w:pPr>
      <w:r>
        <w:t xml:space="preserve">Prior dissemination: the manuscript and its code are archived in a public repository on Zenodo</w:t>
      </w:r>
      <w:r>
        <w:t xml:space="preserve"> </w:t>
      </w:r>
      <w:r>
        <w:t xml:space="preserve">(doi:10.5281/zenodo.23737045; CC BY 4.0), and the study is described for a general audience in a post and a narrated video on</w:t>
      </w:r>
      <w:r>
        <w:t xml:space="preserve"> </w:t>
      </w:r>
      <w:r>
        <w:t xml:space="preserve">the author’s website. No preprint has been posted on a preprint server.</w:t>
      </w:r>
    </w:p>
    <w:p>
      <w:pPr>
        <w:pStyle w:val="Compact"/>
        <w:numPr>
          <w:ilvl w:val="0"/>
          <w:numId w:val="1001"/>
        </w:numPr>
      </w:pPr>
      <w:r>
        <w:t xml:space="preserve">I drafted the manuscript with the use of a large language model. How it was used is declared in the Methods and in</w:t>
      </w:r>
      <w:r>
        <w:t xml:space="preserve"> </w:t>
      </w:r>
      <w:r>
        <w:t xml:space="preserve">the figure legends, as Springer Nature’s AI policy asks.</w:t>
      </w:r>
    </w:p>
    <w:p>
      <w:pPr>
        <w:pStyle w:val="Compact"/>
        <w:numPr>
          <w:ilvl w:val="0"/>
          <w:numId w:val="1001"/>
        </w:numPr>
      </w:pPr>
      <w:r>
        <w:t xml:space="preserve">The study used only public, aggregate data on organizations and counties; it is not human subjects research</w:t>
      </w:r>
      <w:r>
        <w:t xml:space="preserve"> </w:t>
      </w:r>
      <w:r>
        <w:t xml:space="preserve">(Declarations).</w:t>
      </w:r>
    </w:p>
    <w:p>
      <w:pPr>
        <w:pStyle w:val="Compact"/>
        <w:numPr>
          <w:ilvl w:val="0"/>
          <w:numId w:val="1001"/>
        </w:numPr>
      </w:pPr>
      <w:r>
        <w:t xml:space="preserve">I understand that the journal operates transparent peer review.</w:t>
      </w:r>
    </w:p>
    <w:p>
      <w:pPr>
        <w:pStyle w:val="FirstParagraph"/>
      </w:pPr>
      <w:r>
        <w:t xml:space="preserve">Competing interests: I am employed as a data scientist at Indiana University Health. The study was conducted</w:t>
      </w:r>
      <w:r>
        <w:t xml:space="preserve"> </w:t>
      </w:r>
      <w:r>
        <w:t xml:space="preserve">independently of that employment, using only public data, and Indiana University Health had no role in it. I declare</w:t>
      </w:r>
      <w:r>
        <w:t xml:space="preserve"> </w:t>
      </w:r>
      <w:r>
        <w:t xml:space="preserve">no other competing interests. The work received no funding.</w:t>
      </w:r>
    </w:p>
    <w:p>
      <w:pPr>
        <w:pStyle w:val="BodyText"/>
      </w:pPr>
      <w:r>
        <w:t xml:space="preserve">I am the sole author and have approved the manuscript for submission. It has not been published and is not under</w:t>
      </w:r>
      <w:r>
        <w:t xml:space="preserve"> </w:t>
      </w:r>
      <w:r>
        <w:t xml:space="preserve">consideration for publication elsewhere.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Samuel Thomas Harrold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2026-10-30T13:03:44Z</dcterms:created>
  <dcterms:modified xsi:type="dcterms:W3CDTF">2026-10-30T13:03:44Z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