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only 39 organizations globally, 26 at HIMSS AMAM Stage 6 and 13 at Stage 7, have achieved these maturity levels</w:t>
      </w:r>
      <w:hyperlink w:anchor="ref-himss2024">
        <w:r>
          <w:rPr>
            <w:rStyle w:val="Hyperlink"/>
            <w:vertAlign w:val="superscript"/>
          </w:rPr>
          <w:t xml:space="preserve">1</w:t>
        </w:r>
      </w:hyperlink>
      <w:r>
        <w:t xml:space="preserve">; (2) a</w:t>
      </w:r>
      <w:r>
        <w:t xml:space="preserve"> </w:t>
      </w:r>
      <w:r>
        <w:rPr>
          <w:i/>
          <w:iCs/>
        </w:rPr>
        <w:t xml:space="preserve">Semantic Gap</w:t>
      </w:r>
      <w:r>
        <w:t xml:space="preserve"> </w:t>
      </w:r>
      <w:r>
        <w:t xml:space="preserve">between clinical intent and technical schema implementation</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hyperlink w:anchor="ref-hong2025">
        <w:r>
          <w:rPr>
            <w:rStyle w:val="Hyperlink"/>
            <w:vertAlign w:val="superscript"/>
          </w:rPr>
          <w:t xml:space="preserve">4</w:t>
        </w:r>
      </w:hyperlink>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hyperlink w:anchor="ref-wittkieffer2024">
        <w:r>
          <w:rPr>
            <w:rStyle w:val="Hyperlink"/>
            <w:vertAlign w:val="superscript"/>
          </w:rPr>
          <w:t xml:space="preserve">5</w:t>
        </w:r>
      </w:hyperlink>
      <w:r>
        <w:t xml:space="preserve">, creating a strategic vacuum at the top. At the operational level, the situation is equally precarious: 79% of provider organizations report persistent shortages in digital health roles</w:t>
      </w:r>
      <w:hyperlink w:anchor="ref-himssworkforce2024">
        <w:r>
          <w:rPr>
            <w:rStyle w:val="Hyperlink"/>
            <w:vertAlign w:val="superscript"/>
          </w:rPr>
          <w:t xml:space="preserve">6</w:t>
        </w:r>
      </w:hyperlink>
      <w:r>
        <w:t xml:space="preserve">, and a 2025 study found that 55% of public health informatics specialists intend to leave their positions</w:t>
      </w:r>
      <w:hyperlink w:anchor="ref-rajamani2025">
        <w:r>
          <w:rPr>
            <w:rStyle w:val="Hyperlink"/>
            <w:vertAlign w:val="superscript"/>
          </w:rPr>
          <w:t xml:space="preserve">7</w:t>
        </w:r>
      </w:hyperlink>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hyperlink w:anchor="ref-american2023">
        <w:r>
          <w:rPr>
            <w:rStyle w:val="Hyperlink"/>
            <w:vertAlign w:val="superscript"/>
          </w:rPr>
          <w:t xml:space="preserve">8</w:t>
        </w:r>
      </w:hyperlink>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Technical solutions (e.g., NL2SQL) assume a stable schema and clear intent</w:t>
      </w:r>
      <w:hyperlink w:anchor="ref-wang2020">
        <w:r>
          <w:rPr>
            <w:rStyle w:val="Hyperlink"/>
            <w:vertAlign w:val="superscript"/>
          </w:rPr>
          <w:t xml:space="preserve">10</w:t>
        </w:r>
      </w:hyperlink>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hyperlink w:anchor="ref-rao2006">
        <w:r>
          <w:rPr>
            <w:rStyle w:val="Hyperlink"/>
            <w:vertAlign w:val="superscript"/>
          </w:rPr>
          <w:t xml:space="preserve">11</w:t>
        </w:r>
      </w:hyperlink>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hyperlink w:anchor="ref-mayo2016">
        <w:r>
          <w:rPr>
            <w:rStyle w:val="Hyperlink"/>
            <w:vertAlign w:val="superscript"/>
          </w:rPr>
          <w:t xml:space="preserve">12</w:t>
        </w:r>
      </w:hyperlink>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hyperlink w:anchor="ref-ledikwe2013">
        <w:r>
          <w:rPr>
            <w:rStyle w:val="Hyperlink"/>
            <w:vertAlign w:val="superscript"/>
          </w:rPr>
          <w:t xml:space="preserve">13</w:t>
        </w:r>
      </w:hyperlink>
      <w:r>
        <w:rPr>
          <w:vertAlign w:val="superscript"/>
        </w:rPr>
        <w:t xml:space="preserve">,</w:t>
      </w:r>
      <w:hyperlink w:anchor="ref-mantas2010">
        <w:r>
          <w:rPr>
            <w:rStyle w:val="Hyperlink"/>
            <w:vertAlign w:val="superscript"/>
          </w:rPr>
          <w:t xml:space="preserve">14</w:t>
        </w:r>
      </w:hyperlink>
      <w:r>
        <w:t xml:space="preserve">. A foundational 2004 study established that healthcare IT staff had the lowest expected tenure among all IT sectors at just 2.9 years</w:t>
      </w:r>
      <w:hyperlink w:anchor="ref-ang2004">
        <w:r>
          <w:rPr>
            <w:rStyle w:val="Hyperlink"/>
            <w:vertAlign w:val="superscript"/>
          </w:rPr>
          <w:t xml:space="preserve">15</w:t>
        </w:r>
      </w:hyperlink>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hyperlink w:anchor="ref-farnese2019">
        <w:r>
          <w:rPr>
            <w:rStyle w:val="Hyperlink"/>
            <w:vertAlign w:val="superscript"/>
          </w:rPr>
          <w:t xml:space="preserve">16</w:t>
        </w:r>
      </w:hyperlink>
      <w:r>
        <w:t xml:space="preserve">, informed by a narrative review of the literature across healthcare analytics maturity, workforce turnover dynamics, and natural language processing, with grey literature assessed using the AACODS checklist</w:t>
      </w:r>
      <w:hyperlink w:anchor="ref-tyndall2010">
        <w:r>
          <w:rPr>
            <w:rStyle w:val="Hyperlink"/>
            <w:vertAlign w:val="superscript"/>
          </w:rPr>
          <w:t xml:space="preserve">17</w:t>
        </w:r>
      </w:hyperlink>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hyperlink w:anchor="ref-farnese2019">
        <w:r>
          <w:rPr>
            <w:rStyle w:val="Hyperlink"/>
            <w:vertAlign w:val="superscript"/>
          </w:rPr>
          <w:t xml:space="preserve">16</w:t>
        </w:r>
      </w:hyperlink>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hyperlink w:anchor="ref-rao2006">
        <w:r>
          <w:rPr>
            <w:rStyle w:val="Hyperlink"/>
            <w:vertAlign w:val="superscript"/>
          </w:rPr>
          <w:t xml:space="preserve">11</w:t>
        </w:r>
      </w:hyperlink>
      <w:r>
        <w:rPr>
          <w:vertAlign w:val="superscript"/>
        </w:rPr>
        <w:t xml:space="preserve">,</w:t>
      </w:r>
      <w:hyperlink w:anchor="ref-farnese2019">
        <w:r>
          <w:rPr>
            <w:rStyle w:val="Hyperlink"/>
            <w:vertAlign w:val="superscript"/>
          </w:rPr>
          <w:t xml:space="preserve">16</w:t>
        </w:r>
      </w:hyperlink>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hyperlink w:anchor="ref-farnese2019">
        <w:r>
          <w:rPr>
            <w:rStyle w:val="Hyperlink"/>
            <w:vertAlign w:val="superscript"/>
          </w:rPr>
          <w:t xml:space="preserve">16</w:t>
        </w:r>
      </w:hyperlink>
      <w:r>
        <w:t xml:space="preserve">. Socialization depends on two preconditions: sustained interaction and sufficient temporal overlap between knowledge holders and receivers</w:t>
      </w:r>
      <w:hyperlink w:anchor="ref-foos2006">
        <w:r>
          <w:rPr>
            <w:rStyle w:val="Hyperlink"/>
            <w:vertAlign w:val="superscript"/>
          </w:rPr>
          <w:t xml:space="preserve">18</w:t>
        </w:r>
      </w:hyperlink>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hyperlink w:anchor="ref-wittkieffer2024">
        <w:r>
          <w:rPr>
            <w:rStyle w:val="Hyperlink"/>
            <w:vertAlign w:val="superscript"/>
          </w:rPr>
          <w:t xml:space="preserve">5</w:t>
        </w:r>
      </w:hyperlink>
      <w:r>
        <w:t xml:space="preserve">, strategic knowledge at the leadership level turns over before it can be transmitted. At the operational level, 55% of public health informatics specialists intend to leave their positions</w:t>
      </w:r>
      <w:hyperlink w:anchor="ref-rajamani2025">
        <w:r>
          <w:rPr>
            <w:rStyle w:val="Hyperlink"/>
            <w:vertAlign w:val="superscript"/>
          </w:rPr>
          <w:t xml:space="preserve">7</w:t>
        </w:r>
      </w:hyperlink>
      <w:r>
        <w:t xml:space="preserve">, and 30% of new employees depart within their first year</w:t>
      </w:r>
      <w:hyperlink w:anchor="ref-nsi2025">
        <w:r>
          <w:rPr>
            <w:rStyle w:val="Hyperlink"/>
            <w:vertAlign w:val="superscript"/>
          </w:rPr>
          <w:t xml:space="preserve">19</w:t>
        </w:r>
      </w:hyperlink>
      <w:r>
        <w:t xml:space="preserve">. Meanwhile, specialized informatics roles require 18 to 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hyperlink w:anchor="ref-wu2024">
        <w:r>
          <w:rPr>
            <w:rStyle w:val="Hyperlink"/>
            <w:vertAlign w:val="superscript"/>
          </w:rPr>
          <w:t xml:space="preserve">21</w:t>
        </w:r>
      </w:hyperlink>
      <w:r>
        <w:rPr>
          <w:vertAlign w:val="superscript"/>
        </w:rPr>
        <w:t xml:space="preserve">,</w:t>
      </w:r>
      <w:hyperlink w:anchor="ref-ren2024">
        <w:r>
          <w:rPr>
            <w:rStyle w:val="Hyperlink"/>
            <w:vertAlign w:val="superscript"/>
          </w:rPr>
          <w:t xml:space="preserve">22</w:t>
        </w:r>
      </w:hyperlink>
      <w:r>
        <w:t xml:space="preserve">. The resulting knowledge loss is compounding: each departure removes a node from the organization’s informal knowledge network, making subsequent Socialization attempts less effective because fewer experienced practitioners remain to serve as mentors</w:t>
      </w:r>
      <w:hyperlink w:anchor="ref-massingham2018">
        <w:r>
          <w:rPr>
            <w:rStyle w:val="Hyperlink"/>
            <w:vertAlign w:val="superscript"/>
          </w:rPr>
          <w:t xml:space="preserve">23</w:t>
        </w:r>
      </w:hyperlink>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hyperlink w:anchor="ref-zhang2025">
        <w:r>
          <w:rPr>
            <w:rStyle w:val="Hyperlink"/>
            <w:vertAlign w:val="superscript"/>
          </w:rPr>
          <w:t xml:space="preserve">24</w:t>
        </w:r>
      </w:hyperlink>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hyperlink w:anchor="ref-goffin2011">
        <w:r>
          <w:rPr>
            <w:rStyle w:val="Hyperlink"/>
            <w:vertAlign w:val="superscript"/>
          </w:rPr>
          <w:t xml:space="preserve">25</w:t>
        </w:r>
      </w:hyperlink>
      <w:r>
        <w:t xml:space="preserve">. In a high-burnout environment where provider organizations report persistent shortages in digital health roles</w:t>
      </w:r>
      <w:hyperlink w:anchor="ref-himssworkforce2024">
        <w:r>
          <w:rPr>
            <w:rStyle w:val="Hyperlink"/>
            <w:vertAlign w:val="superscript"/>
          </w:rPr>
          <w:t xml:space="preserve">6</w:t>
        </w:r>
      </w:hyperlink>
      <w:r>
        <w:t xml:space="preserve">, this discretionary documentation is the first casualty. Second, it is low-fidelity: the act of writing down tacit knowledge inevitably loses nuance, context, and the conditional logic that makes institutional knowledge valuable</w:t>
      </w:r>
      <w:hyperlink w:anchor="ref-foos2006">
        <w:r>
          <w:rPr>
            <w:rStyle w:val="Hyperlink"/>
            <w:vertAlign w:val="superscript"/>
          </w:rPr>
          <w:t xml:space="preserve">18</w:t>
        </w:r>
      </w:hyperlink>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hyperlink w:anchor="ref-moore2018">
        <w:r>
          <w:rPr>
            <w:rStyle w:val="Hyperlink"/>
            <w:vertAlign w:val="superscript"/>
          </w:rPr>
          <w:t xml:space="preserve">26</w:t>
        </w:r>
      </w:hyperlink>
      <w:r>
        <w:t xml:space="preserve">.</w:t>
      </w:r>
    </w:p>
    <w:bookmarkEnd w:id="11"/>
    <w:bookmarkEnd w:id="12"/>
    <w:bookmarkStart w:id="22" w:name="human-in-the-loop-knowledge-governance"/>
    <w:p>
      <w:pPr>
        <w:pStyle w:val="Heading1"/>
      </w:pPr>
      <w:r>
        <w:rPr>
          <w:rStyle w:val="SectionNumber"/>
        </w:rPr>
        <w:t xml:space="preserve">3</w:t>
      </w:r>
      <w:r>
        <w:tab/>
      </w: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hyperlink w:anchor="ref-foss2007">
        <w:r>
          <w:rPr>
            <w:rStyle w:val="Hyperlink"/>
            <w:vertAlign w:val="superscript"/>
          </w:rPr>
          <w:t xml:space="preserve">27</w:t>
        </w:r>
      </w:hyperlink>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rPr>
          <w:rStyle w:val="SectionNumber"/>
        </w:rPr>
        <w:t xml:space="preserve">3.1</w:t>
      </w:r>
      <w:r>
        <w:tab/>
      </w: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5062370"/>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7697062"/>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7697062"/>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i/>
          <w:iCs/>
        </w:rPr>
        <w:t xml:space="preserve">Query Generation</w:t>
      </w:r>
      <w:r>
        <w:t xml:space="preserve">: A user asks a question. The AI proposes SQL based on schema knowledge</w:t>
      </w:r>
      <w:hyperlink w:anchor="ref-wang2020">
        <w:r>
          <w:rPr>
            <w:rStyle w:val="Hyperlink"/>
            <w:vertAlign w:val="superscript"/>
          </w:rPr>
          <w:t xml:space="preserve">10</w:t>
        </w:r>
      </w:hyperlink>
      <w:r>
        <w:rPr>
          <w:vertAlign w:val="superscript"/>
        </w:rPr>
        <w:t xml:space="preserve">,</w:t>
      </w:r>
      <w:hyperlink w:anchor="ref-lee2023">
        <w:r>
          <w:rPr>
            <w:rStyle w:val="Hyperlink"/>
            <w:vertAlign w:val="superscript"/>
          </w:rPr>
          <w:t xml:space="preserve">28</w:t>
        </w:r>
      </w:hyperlink>
      <w:r>
        <w:t xml:space="preserve">.</w:t>
      </w:r>
    </w:p>
    <w:p>
      <w:pPr>
        <w:pStyle w:val="Compact"/>
        <w:numPr>
          <w:ilvl w:val="0"/>
          <w:numId w:val="1002"/>
        </w:numPr>
      </w:pPr>
      <w:r>
        <w:rPr>
          <w:i/>
          <w:iCs/>
        </w:rPr>
        <w:t xml:space="preserve">Semantic Translation</w:t>
      </w:r>
      <w:r>
        <w:t xml:space="preserve">: The AI translates the SQL back into a natural language explanation</w:t>
      </w:r>
      <w:hyperlink w:anchor="ref-ziletti2024">
        <w:r>
          <w:rPr>
            <w:rStyle w:val="Hyperlink"/>
            <w:vertAlign w:val="superscript"/>
          </w:rPr>
          <w:t xml:space="preserve">29</w:t>
        </w:r>
      </w:hyperlink>
      <w:r>
        <w:t xml:space="preserve">.</w:t>
      </w:r>
    </w:p>
    <w:p>
      <w:pPr>
        <w:pStyle w:val="Compact"/>
        <w:numPr>
          <w:ilvl w:val="0"/>
          <w:numId w:val="1002"/>
        </w:numPr>
      </w:pPr>
      <w:r>
        <w:rPr>
          <w:i/>
          <w:i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“Human-in-the-Loop”</w:t>
      </w:r>
      <w:r>
        <w:t xml:space="preserve"> </w:t>
      </w:r>
      <w:r>
        <w:t xml:space="preserve">(HITL) step transforms validation into an iterative knowledge capture process</w:t>
      </w:r>
      <w:hyperlink w:anchor="ref-bravorocca2023">
        <w:r>
          <w:rPr>
            <w:rStyle w:val="Hyperlink"/>
            <w:vertAlign w:val="superscript"/>
          </w:rPr>
          <w:t xml:space="preserve">30</w:t>
        </w:r>
      </w:hyperlink>
      <w:r>
        <w:rPr>
          <w:vertAlign w:val="superscript"/>
        </w:rPr>
        <w:t xml:space="preserve">,</w:t>
      </w:r>
      <w:hyperlink w:anchor="ref-mosqueirarey2023">
        <w:r>
          <w:rPr>
            <w:rStyle w:val="Hyperlink"/>
            <w:vertAlign w:val="superscript"/>
          </w:rPr>
          <w:t xml:space="preserve">31</w:t>
        </w:r>
      </w:hyperlink>
      <w:r>
        <w:t xml:space="preserve">.</w:t>
      </w:r>
    </w:p>
    <w:p>
      <w:pPr>
        <w:pStyle w:val="Compact"/>
        <w:numPr>
          <w:ilvl w:val="0"/>
          <w:numId w:val="1002"/>
        </w:numPr>
      </w:pPr>
      <w:r>
        <w:rPr>
          <w:i/>
          <w:iCs/>
        </w:rPr>
        <w:t xml:space="preserve">Artifact Storage</w:t>
      </w:r>
      <w:r>
        <w:t xml:space="preserve">: The validated triple is hashed and stored in organizational memory</w:t>
      </w:r>
      <w:hyperlink w:anchor="ref-benbya2004">
        <w:r>
          <w:rPr>
            <w:rStyle w:val="Hyperlink"/>
            <w:vertAlign w:val="superscript"/>
          </w:rPr>
          <w:t xml:space="preserve">32</w:t>
        </w:r>
      </w:hyperlink>
      <w:r>
        <w:t xml:space="preserve">.</w:t>
      </w:r>
    </w:p>
    <w:p>
      <w:pPr>
        <w:pStyle w:val="Compact"/>
        <w:numPr>
          <w:ilvl w:val="0"/>
          <w:numId w:val="1002"/>
        </w:numPr>
      </w:pPr>
      <w:r>
        <w:rPr>
          <w:i/>
          <w:i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hyperlink w:anchor="ref-whittaker2008">
        <w:r>
          <w:rPr>
            <w:rStyle w:val="Hyperlink"/>
            <w:vertAlign w:val="superscript"/>
          </w:rPr>
          <w:t xml:space="preserve">33</w:t>
        </w:r>
      </w:hyperlink>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HITL-KG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r>
        <w:t xml:space="preserve">. HITL-KG’s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hyperlink w:anchor="ref-mayo2016">
        <w:r>
          <w:rPr>
            <w:rStyle w:val="Hyperlink"/>
            <w:vertAlign w:val="superscript"/>
          </w:rPr>
          <w:t xml:space="preserve">12</w:t>
        </w:r>
      </w:hyperlink>
      <w:r>
        <w:rPr>
          <w:vertAlign w:val="superscript"/>
        </w:rPr>
        <w:t xml:space="preserve">,</w:t>
      </w:r>
      <w:hyperlink w:anchor="ref-goffin2011">
        <w:r>
          <w:rPr>
            <w:rStyle w:val="Hyperlink"/>
            <w:vertAlign w:val="superscript"/>
          </w:rPr>
          <w:t xml:space="preserve">25</w:t>
        </w:r>
      </w:hyperlink>
      <w:r>
        <w:t xml:space="preserve">. HITL-KG instead implements active capture: the query itself is the documentation, and validation happens at the point of use rather than as a separate maintenance task</w:t>
      </w:r>
      <w:hyperlink w:anchor="ref-moore2018">
        <w:r>
          <w:rPr>
            <w:rStyle w:val="Hyperlink"/>
            <w:vertAlign w:val="superscript"/>
          </w:rPr>
          <w:t xml:space="preserve">26</w:t>
        </w:r>
      </w:hyperlink>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hyperlink w:anchor="ref-ziletti2024">
        <w:r>
          <w:rPr>
            <w:rStyle w:val="Hyperlink"/>
            <w:vertAlign w:val="superscript"/>
          </w:rPr>
          <w:t xml:space="preserve">29</w:t>
        </w:r>
      </w:hyperlink>
      <w:r>
        <w:t xml:space="preserve">. HITL-KG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r>
        <w:t xml:space="preserve">. Most organizations remain at Stages 0-3, characterized by fragmented data and limited predictive capabilities</w:t>
      </w:r>
      <w:hyperlink w:anchor="ref-health2020">
        <w:r>
          <w:rPr>
            <w:rStyle w:val="Hyperlink"/>
            <w:vertAlign w:val="superscript"/>
          </w:rPr>
          <w:t xml:space="preserve">37</w:t>
        </w:r>
      </w:hyperlink>
      <w:r>
        <w:t xml:space="preserve">. However, maturity is not merely an IT metric; it is a clinical safety predictor. EMRAM levels 6-7 correlate with 3.25 times higher odds of better Leapfrog Safety Grades</w:t>
      </w:r>
      <w:hyperlink w:anchor="ref-snowdon2024">
        <w:r>
          <w:rPr>
            <w:rStyle w:val="Hyperlink"/>
            <w:vertAlign w:val="superscript"/>
          </w:rPr>
          <w:t xml:space="preserve">38</w:t>
        </w:r>
      </w:hyperlink>
      <w:r>
        <w:t xml:space="preserve">. Low maturity creates a</w:t>
      </w:r>
      <w:r>
        <w:t xml:space="preserve"> </w:t>
      </w:r>
      <w:r>
        <w:t xml:space="preserve">“low-maturity trap”</w:t>
      </w:r>
      <w:r>
        <w:t xml:space="preserve"> </w:t>
      </w:r>
      <w:r>
        <w:t xml:space="preserve">where data quality issues (such as the 39-71% missing data rates in cancer databases</w:t>
      </w:r>
      <w:hyperlink w:anchor="ref-yang2021">
        <w:r>
          <w:rPr>
            <w:rStyle w:val="Hyperlink"/>
            <w:vertAlign w:val="superscript"/>
          </w:rPr>
          <w:t xml:space="preserve">39</w:t>
        </w:r>
      </w:hyperlink>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hyperlink w:anchor="ref-latrella2024">
        <w:r>
          <w:rPr>
            <w:rStyle w:val="Hyperlink"/>
            <w:vertAlign w:val="superscript"/>
          </w:rPr>
          <w:t xml:space="preserve">40</w:t>
        </w:r>
      </w:hyperlink>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hyperlink w:anchor="ref-nashid2023">
        <w:r>
          <w:rPr>
            <w:rStyle w:val="Hyperlink"/>
            <w:vertAlign w:val="superscript"/>
          </w:rPr>
          <w:t xml:space="preserve">41</w:t>
        </w:r>
      </w:hyperlink>
      <w:r>
        <w:t xml:space="preserve">. Barriers including employee resistance to change and lack of organizational readiness further stall data-driven initiatives</w:t>
      </w:r>
      <w:hyperlink w:anchor="ref-shahbaz2019">
        <w:r>
          <w:rPr>
            <w:rStyle w:val="Hyperlink"/>
            <w:vertAlign w:val="superscript"/>
          </w:rPr>
          <w:t xml:space="preserve">42</w:t>
        </w:r>
      </w:hyperlink>
      <w:r>
        <w:rPr>
          <w:vertAlign w:val="superscript"/>
        </w:rPr>
        <w:t xml:space="preserve">,</w:t>
      </w:r>
      <w:hyperlink w:anchor="ref-kamble2019">
        <w:r>
          <w:rPr>
            <w:rStyle w:val="Hyperlink"/>
            <w:vertAlign w:val="superscript"/>
          </w:rPr>
          <w:t xml:space="preserve">43</w:t>
        </w:r>
      </w:hyperlink>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hyperlink w:anchor="ref-massingham2018">
        <w:r>
          <w:rPr>
            <w:rStyle w:val="Hyperlink"/>
            <w:vertAlign w:val="superscript"/>
          </w:rPr>
          <w:t xml:space="preserve">23</w:t>
        </w:r>
      </w:hyperlink>
      <w:r>
        <w:rPr>
          <w:vertAlign w:val="superscript"/>
        </w:rPr>
        <w:t xml:space="preserve">,</w:t>
      </w:r>
      <w:hyperlink w:anchor="ref-wynendaele2025">
        <w:r>
          <w:rPr>
            <w:rStyle w:val="Hyperlink"/>
            <w:vertAlign w:val="superscript"/>
          </w:rPr>
          <w:t xml:space="preserve">44</w:t>
        </w:r>
      </w:hyperlink>
      <w:r>
        <w:t xml:space="preserve">. In clinical informatics specifically, replacement costs range from $50,000 to $230,000 per departing employee, with a single department losing 39 staff in one year at a total cost of up to $8.97 million</w:t>
      </w:r>
      <w:hyperlink w:anchor="ref-hackney2024">
        <w:r>
          <w:rPr>
            <w:rStyle w:val="Hyperlink"/>
            <w:vertAlign w:val="superscript"/>
          </w:rPr>
          <w:t xml:space="preserve">45</w:t>
        </w:r>
      </w:hyperlink>
      <w:r>
        <w:t xml:space="preserve">. With 30% of new employees leaving within their first year</w:t>
      </w:r>
      <w:hyperlink w:anchor="ref-nsi2025">
        <w:r>
          <w:rPr>
            <w:rStyle w:val="Hyperlink"/>
            <w:vertAlign w:val="superscript"/>
          </w:rPr>
          <w:t xml:space="preserve">19</w:t>
        </w:r>
      </w:hyperlink>
      <w:r>
        <w:t xml:space="preserve">, healthcare IT professionals spend a limited portion of their employment at full productivity, as specialized roles require 18-24 months to reach fluency</w:t>
      </w:r>
      <w:hyperlink w:anchor="ref-ledikwe2013">
        <w:r>
          <w:rPr>
            <w:rStyle w:val="Hyperlink"/>
            <w:vertAlign w:val="superscript"/>
          </w:rPr>
          <w:t xml:space="preserve">13</w:t>
        </w:r>
      </w:hyperlink>
      <w:r>
        <w:rPr>
          <w:vertAlign w:val="superscript"/>
        </w:rPr>
        <w:t xml:space="preserve">,</w:t>
      </w:r>
      <w:hyperlink w:anchor="ref-konrad2022">
        <w:r>
          <w:rPr>
            <w:rStyle w:val="Hyperlink"/>
            <w:vertAlign w:val="superscript"/>
          </w:rPr>
          <w:t xml:space="preserve">20</w:t>
        </w:r>
      </w:hyperlink>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hyperlink w:anchor="ref-rao2006">
        <w:r>
          <w:rPr>
            <w:rStyle w:val="Hyperlink"/>
            <w:vertAlign w:val="superscript"/>
          </w:rPr>
          <w:t xml:space="preserve">11</w:t>
        </w:r>
      </w:hyperlink>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hyperlink w:anchor="ref-ang2004">
        <w:r>
          <w:rPr>
            <w:rStyle w:val="Hyperlink"/>
            <w:vertAlign w:val="superscript"/>
          </w:rPr>
          <w:t xml:space="preserve">15</w:t>
        </w:r>
      </w:hyperlink>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hyperlink w:anchor="ref-blaskovic2025">
        <w:r>
          <w:rPr>
            <w:rStyle w:val="Hyperlink"/>
            <w:vertAlign w:val="superscript"/>
          </w:rPr>
          <w:t xml:space="preserve">46</w:t>
        </w:r>
      </w:hyperlink>
      <w:r>
        <w:t xml:space="preserve">; domain-adapted systems like MedT5SQL reach 80%</w:t>
      </w:r>
      <w:hyperlink w:anchor="ref-marshan2024">
        <w:r>
          <w:rPr>
            <w:rStyle w:val="Hyperlink"/>
            <w:vertAlign w:val="superscript"/>
          </w:rPr>
          <w:t xml:space="preserve">47</w:t>
        </w:r>
      </w:hyperlink>
      <w:r>
        <w:t xml:space="preserve">; and architecturally specialized approaches combining LLMs with structured knowledge representations achieve 94% on the same benchmarks</w:t>
      </w:r>
      <w:hyperlink w:anchor="ref-chen2026graph">
        <w:r>
          <w:rPr>
            <w:rStyle w:val="Hyperlink"/>
            <w:vertAlign w:val="superscript"/>
          </w:rPr>
          <w:t xml:space="preserve">48</w:t>
        </w:r>
      </w:hyperlink>
      <w:r>
        <w:t xml:space="preserve">. While insufficient for unsupervised clinical deployment</w:t>
      </w:r>
      <w:hyperlink w:anchor="ref-ziletti2024">
        <w:r>
          <w:rPr>
            <w:rStyle w:val="Hyperlink"/>
            <w:vertAlign w:val="superscript"/>
          </w:rPr>
          <w:t xml:space="preserve">29</w:t>
        </w:r>
      </w:hyperlink>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hyperlink w:anchor="ref-tarbell2024">
        <w:r>
          <w:rPr>
            <w:rStyle w:val="Hyperlink"/>
            <w:vertAlign w:val="superscript"/>
          </w:rPr>
          <w:t xml:space="preserve">49</w:t>
        </w:r>
      </w:hyperlink>
      <w:r>
        <w:t xml:space="preserve">, reinforcing the necessity of the human-in-the-loop architecture. Healthcare-specific natural language interfaces such as Criteria2Query achieve fully automated cohort query formulation in 1.22 seconds per criterion</w:t>
      </w:r>
      <w:hyperlink w:anchor="ref-yuan2019">
        <w:r>
          <w:rPr>
            <w:rStyle w:val="Hyperlink"/>
            <w:vertAlign w:val="superscript"/>
          </w:rPr>
          <w:t xml:space="preserve">50</w:t>
        </w:r>
      </w:hyperlink>
      <w:r>
        <w:t xml:space="preserve">, with over 80% of clinical users indicating willingness to adopt such tools, and LLM-powered interfaces reduce task completion time by 28% compared to traditional methods</w:t>
      </w:r>
      <w:hyperlink w:anchor="ref-nittala2024">
        <w:r>
          <w:rPr>
            <w:rStyle w:val="Hyperlink"/>
            <w:vertAlign w:val="superscript"/>
          </w:rPr>
          <w:t xml:space="preserve">51</w:t>
        </w:r>
      </w:hyperlink>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hyperlink w:anchor="ref-anthropic2025">
        <w:r>
          <w:rPr>
            <w:rStyle w:val="Hyperlink"/>
            <w:vertAlign w:val="superscript"/>
          </w:rPr>
          <w:t xml:space="preserve">52</w:t>
        </w:r>
      </w:hyperlink>
      <w:r>
        <w:rPr>
          <w:vertAlign w:val="superscript"/>
        </w:rPr>
        <w:t xml:space="preserve">–</w:t>
      </w:r>
      <w:hyperlink w:anchor="ref-arora2025">
        <w:r>
          <w:rPr>
            <w:rStyle w:val="Hyperlink"/>
            <w:vertAlign w:val="superscript"/>
          </w:rPr>
          <w:t xml:space="preserve">55</w:t>
        </w:r>
      </w:hyperlink>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organizational-self-assessment"/>
    <w:p>
      <w:pPr>
        <w:pStyle w:val="Heading1"/>
      </w:pPr>
      <w:r>
        <w:rPr>
          <w:rStyle w:val="SectionNumber"/>
        </w:rPr>
        <w:t xml:space="preserve">5</w:t>
      </w:r>
      <w:r>
        <w:tab/>
      </w: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rPr>
          <w:rStyle w:val="SectionNumber"/>
        </w:rPr>
        <w:t xml:space="preserve">5.1</w:t>
      </w:r>
      <w:r>
        <w:tab/>
      </w: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hyperlink w:anchor="ref-himss2024">
        <w:r>
          <w:rPr>
            <w:rStyle w:val="Hyperlink"/>
            <w:vertAlign w:val="superscript"/>
          </w:rPr>
          <w:t xml:space="preserve">1</w:t>
        </w:r>
      </w:hyperlink>
      <w:r>
        <w:rPr>
          <w:vertAlign w:val="superscript"/>
        </w:rPr>
        <w:t xml:space="preserve">,</w:t>
      </w:r>
      <w:hyperlink w:anchor="ref-wang2018">
        <w:r>
          <w:rPr>
            <w:rStyle w:val="Hyperlink"/>
            <w:vertAlign w:val="superscript"/>
          </w:rPr>
          <w:t xml:space="preserve">9</w:t>
        </w:r>
      </w:hyperlink>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hyperlink w:anchor="ref-ignatowicz2023">
        <w:r>
          <w:rPr>
            <w:rStyle w:val="Hyperlink"/>
            <w:vertAlign w:val="superscript"/>
          </w:rPr>
          <w:t xml:space="preserve">56</w:t>
        </w:r>
      </w:hyperlink>
      <w:r>
        <w:t xml:space="preserve">. Only four instruments have been developed specifically for healthcare, and only two have been validated</w:t>
      </w:r>
      <w:hyperlink w:anchor="ref-ratliff2025">
        <w:r>
          <w:rPr>
            <w:rStyle w:val="Hyperlink"/>
            <w:vertAlign w:val="superscript"/>
          </w:rPr>
          <w:t xml:space="preserve">57</w:t>
        </w:r>
      </w:hyperlink>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in Section 1.</w:t>
      </w:r>
    </w:p>
    <w:bookmarkEnd w:id="27"/>
    <w:bookmarkStart w:id="28" w:name="the-three-pillar-rubric"/>
    <w:p>
      <w:pPr>
        <w:pStyle w:val="Heading2"/>
      </w:pPr>
      <w:r>
        <w:rPr>
          <w:rStyle w:val="SectionNumber"/>
        </w:rPr>
        <w:t xml:space="preserve">5.2</w:t>
      </w:r>
      <w:r>
        <w:tab/>
      </w:r>
      <w:r>
        <w:t xml:space="preserve">The Three-Pillar Rubric</w:t>
      </w:r>
    </w:p>
    <w:p>
      <w:pPr>
        <w:pStyle w:val="FirstParagraph"/>
      </w:pPr>
      <w:r>
        <w:t xml:space="preserve">Each indicator is scored as Low, Medium, or High Strength using evidence-based anchors from the literature reviewed in Section 4.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p>
      <w:pPr>
        <w:pStyle w:val="BodyText"/>
      </w:pPr>
      <w:r>
        <w:rPr>
          <w:i/>
          <w:iCs/>
        </w:rP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hyperlink w:anchor="ref-himss2024">
              <w:r>
                <w:rPr>
                  <w:rStyle w:val="Hyperlink"/>
                  <w:vertAlign w:val="superscript"/>
                </w:rPr>
                <w:t xml:space="preserve">1</w:t>
              </w:r>
            </w:hyperlink>
            <w:r>
              <w:rPr>
                <w:vertAlign w:val="superscript"/>
              </w:rPr>
              <w:t xml:space="preserve">,</w:t>
            </w:r>
            <w:hyperlink w:anchor="ref-himss2024news">
              <w:r>
                <w:rPr>
                  <w:rStyle w:val="Hyperlink"/>
                  <w:vertAlign w:val="superscript"/>
                </w:rPr>
                <w:t xml:space="preserve">36</w:t>
              </w:r>
            </w:hyperlink>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hyperlink w:anchor="ref-health2020">
              <w:r>
                <w:rPr>
                  <w:rStyle w:val="Hyperlink"/>
                  <w:vertAlign w:val="superscript"/>
                </w:rPr>
                <w:t xml:space="preserve">37</w:t>
              </w:r>
            </w:hyperlink>
            <w:r>
              <w:rPr>
                <w:vertAlign w:val="superscript"/>
              </w:rPr>
              <w:t xml:space="preserve">,</w:t>
            </w:r>
            <w:hyperlink w:anchor="ref-shahbaz2019">
              <w:r>
                <w:rPr>
                  <w:rStyle w:val="Hyperlink"/>
                  <w:vertAlign w:val="superscript"/>
                </w:rPr>
                <w:t xml:space="preserve">42</w:t>
              </w:r>
            </w:hyperlink>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hyperlink w:anchor="ref-ziletti2024">
              <w:r>
                <w:rPr>
                  <w:rStyle w:val="Hyperlink"/>
                  <w:vertAlign w:val="superscript"/>
                </w:rPr>
                <w:t xml:space="preserve">29</w:t>
              </w:r>
            </w:hyperlink>
            <w:r>
              <w:rPr>
                <w:vertAlign w:val="superscript"/>
              </w:rPr>
              <w:t xml:space="preserve">,</w:t>
            </w:r>
            <w:hyperlink w:anchor="ref-yuan2019">
              <w:r>
                <w:rPr>
                  <w:rStyle w:val="Hyperlink"/>
                  <w:vertAlign w:val="superscript"/>
                </w:rPr>
                <w:t xml:space="preserve">50</w:t>
              </w:r>
            </w:hyperlink>
          </w:p>
        </w:tc>
      </w:tr>
    </w:tbl>
    <w:p>
      <w:pPr>
        <w:pStyle w:val="BodyText"/>
      </w:pPr>
      <w:r>
        <w:rPr>
          <w:i/>
          <w:iCs/>
        </w:rP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hyperlink w:anchor="ref-nsi2025">
              <w:r>
                <w:rPr>
                  <w:rStyle w:val="Hyperlink"/>
                  <w:vertAlign w:val="superscript"/>
                </w:rPr>
                <w:t xml:space="preserve">19</w:t>
              </w:r>
            </w:hyperlink>
            <w:r>
              <w:rPr>
                <w:vertAlign w:val="superscript"/>
              </w:rPr>
              <w:t xml:space="preserve">,</w:t>
            </w:r>
            <w:hyperlink w:anchor="ref-hackney2024">
              <w:r>
                <w:rPr>
                  <w:rStyle w:val="Hyperlink"/>
                  <w:vertAlign w:val="superscript"/>
                </w:rPr>
                <w:t xml:space="preserve">45</w:t>
              </w:r>
            </w:hyperlink>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hyperlink w:anchor="ref-wittkieffer2024">
              <w:r>
                <w:rPr>
                  <w:rStyle w:val="Hyperlink"/>
                  <w:vertAlign w:val="superscript"/>
                </w:rPr>
                <w:t xml:space="preserve">5</w:t>
              </w:r>
            </w:hyperlink>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hyperlink w:anchor="ref-massingham2018">
              <w:r>
                <w:rPr>
                  <w:rStyle w:val="Hyperlink"/>
                  <w:vertAlign w:val="superscript"/>
                </w:rPr>
                <w:t xml:space="preserve">23</w:t>
              </w:r>
            </w:hyperlink>
            <w:r>
              <w:rPr>
                <w:vertAlign w:val="superscript"/>
              </w:rPr>
              <w:t xml:space="preserve">,</w:t>
            </w:r>
            <w:hyperlink w:anchor="ref-foss2007">
              <w:r>
                <w:rPr>
                  <w:rStyle w:val="Hyperlink"/>
                  <w:vertAlign w:val="superscript"/>
                </w:rPr>
                <w:t xml:space="preserve">27</w:t>
              </w:r>
            </w:hyperlink>
          </w:p>
        </w:tc>
      </w:tr>
    </w:tbl>
    <w:p>
      <w:pPr>
        <w:pStyle w:val="BodyText"/>
      </w:pPr>
      <w:r>
        <w:rPr>
          <w:i/>
          <w:iCs/>
        </w:rP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hyperlink w:anchor="ref-shahbaz2019">
              <w:r>
                <w:rPr>
                  <w:rStyle w:val="Hyperlink"/>
                  <w:vertAlign w:val="superscript"/>
                </w:rPr>
                <w:t xml:space="preserve">42</w:t>
              </w:r>
            </w:hyperlink>
            <w:r>
              <w:rPr>
                <w:vertAlign w:val="superscript"/>
              </w:rPr>
              <w:t xml:space="preserve">,</w:t>
            </w:r>
            <w:hyperlink w:anchor="ref-yuan2019">
              <w:r>
                <w:rPr>
                  <w:rStyle w:val="Hyperlink"/>
                  <w:vertAlign w:val="superscript"/>
                </w:rPr>
                <w:t xml:space="preserve">50</w:t>
              </w:r>
            </w:hyperlink>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hyperlink w:anchor="ref-gal2019">
              <w:r>
                <w:rPr>
                  <w:rStyle w:val="Hyperlink"/>
                  <w:vertAlign w:val="superscript"/>
                </w:rPr>
                <w:t xml:space="preserve">2</w:t>
              </w:r>
            </w:hyperlink>
            <w:r>
              <w:rPr>
                <w:vertAlign w:val="superscript"/>
              </w:rPr>
              <w:t xml:space="preserve">,</w:t>
            </w:r>
            <w:hyperlink w:anchor="ref-zhang2024">
              <w:r>
                <w:rPr>
                  <w:rStyle w:val="Hyperlink"/>
                  <w:vertAlign w:val="superscript"/>
                </w:rPr>
                <w:t xml:space="preserve">3</w:t>
              </w:r>
            </w:hyperlink>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hyperlink w:anchor="ref-mannapur2025">
              <w:r>
                <w:rPr>
                  <w:rStyle w:val="Hyperlink"/>
                  <w:vertAlign w:val="superscript"/>
                </w:rPr>
                <w:t xml:space="preserve">34</w:t>
              </w:r>
            </w:hyperlink>
            <w:r>
              <w:rPr>
                <w:vertAlign w:val="superscript"/>
              </w:rPr>
              <w:t xml:space="preserve">,</w:t>
            </w:r>
            <w:hyperlink w:anchor="ref-battula2025">
              <w:r>
                <w:rPr>
                  <w:rStyle w:val="Hyperlink"/>
                  <w:vertAlign w:val="superscript"/>
                </w:rPr>
                <w:t xml:space="preserve">35</w:t>
              </w:r>
            </w:hyperlink>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hyperlink w:anchor="ref-valiaiev2025">
        <w:r>
          <w:rPr>
            <w:rStyle w:val="Hyperlink"/>
            <w:vertAlign w:val="superscript"/>
          </w:rPr>
          <w:t xml:space="preserve">58</w:t>
        </w:r>
      </w:hyperlink>
      <w:r>
        <w:t xml:space="preserve">. When a data warehouse schema is updated, the system automatically re-runs stored queries and flags failures, transforming institutional memory into a living test suite</w:t>
      </w:r>
      <w:hyperlink w:anchor="ref-betha2023">
        <w:r>
          <w:rPr>
            <w:rStyle w:val="Hyperlink"/>
            <w:vertAlign w:val="superscript"/>
          </w:rPr>
          <w:t xml:space="preserve">59</w:t>
        </w:r>
      </w:hyperlink>
      <w:r>
        <w:rPr>
          <w:vertAlign w:val="superscript"/>
        </w:rPr>
        <w:t xml:space="preserve">,</w:t>
      </w:r>
      <w:hyperlink w:anchor="ref-kottam2025">
        <w:r>
          <w:rPr>
            <w:rStyle w:val="Hyperlink"/>
            <w:vertAlign w:val="superscript"/>
          </w:rPr>
          <w:t xml:space="preserve">60</w:t>
        </w:r>
      </w:hyperlink>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hyperlink w:anchor="ref-alukal2006">
        <w:r>
          <w:rPr>
            <w:rStyle w:val="Hyperlink"/>
            <w:vertAlign w:val="superscript"/>
          </w:rPr>
          <w:t xml:space="preserve">61</w:t>
        </w:r>
      </w:hyperlink>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hyperlink w:anchor="ref-alukal2006">
        <w:r>
          <w:rPr>
            <w:rStyle w:val="Hyperlink"/>
            <w:vertAlign w:val="superscript"/>
          </w:rPr>
          <w:t xml:space="preserve">61</w:t>
        </w:r>
      </w:hyperlink>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i/>
          <w:iCs/>
        </w:rPr>
        <w:t xml:space="preserve">Knowledge Ratchet</w:t>
      </w:r>
      <w:hyperlink w:anchor="ref-rao2006">
        <w:r>
          <w:rPr>
            <w:rStyle w:val="Hyperlink"/>
            <w:vertAlign w:val="superscript"/>
          </w:rPr>
          <w:t xml:space="preserve">11</w:t>
        </w:r>
      </w:hyperlink>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hyperlink w:anchor="ref-himss2025ucdavis">
        <w:r>
          <w:rPr>
            <w:rStyle w:val="Hyperlink"/>
            <w:vertAlign w:val="superscript"/>
          </w:rPr>
          <w:t xml:space="preserve">62</w:t>
        </w:r>
      </w:hyperlink>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hyperlink w:anchor="ref-kumar2025caos">
        <w:r>
          <w:rPr>
            <w:rStyle w:val="Hyperlink"/>
            <w:vertAlign w:val="superscript"/>
          </w:rPr>
          <w:t xml:space="preserve">63</w:t>
        </w:r>
      </w:hyperlink>
      <w:r>
        <w:rPr>
          <w:vertAlign w:val="superscript"/>
        </w:rPr>
        <w:t xml:space="preserve">,</w:t>
      </w:r>
      <w:hyperlink w:anchor="ref-labkoff2024">
        <w:r>
          <w:rPr>
            <w:rStyle w:val="Hyperlink"/>
            <w:vertAlign w:val="superscript"/>
          </w:rPr>
          <w:t xml:space="preserve">64</w:t>
        </w:r>
      </w:hyperlink>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hyperlink w:anchor="ref-loshin2010">
        <w:r>
          <w:rPr>
            <w:rStyle w:val="Hyperlink"/>
            <w:vertAlign w:val="superscript"/>
          </w:rPr>
          <w:t xml:space="preserve">65</w:t>
        </w:r>
      </w:hyperlink>
      <w:r>
        <w:rPr>
          <w:vertAlign w:val="superscript"/>
        </w:rPr>
        <w:t xml:space="preserve">,</w:t>
      </w:r>
      <w:hyperlink w:anchor="ref-kalyanasundaram2025">
        <w:r>
          <w:rPr>
            <w:rStyle w:val="Hyperlink"/>
            <w:vertAlign w:val="superscript"/>
          </w:rPr>
          <w:t xml:space="preserve">66</w:t>
        </w:r>
      </w:hyperlink>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hyperlink w:anchor="ref-zimmermann2017">
        <w:r>
          <w:rPr>
            <w:rStyle w:val="Hyperlink"/>
            <w:vertAlign w:val="superscript"/>
          </w:rPr>
          <w:t xml:space="preserve">67</w:t>
        </w:r>
      </w:hyperlink>
      <w:r>
        <w:t xml:space="preserve"> </w:t>
      </w:r>
      <w:r>
        <w:t xml:space="preserve">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hyperlink w:anchor="ref-ziletti2024">
        <w:r>
          <w:rPr>
            <w:rStyle w:val="Hyperlink"/>
            <w:vertAlign w:val="superscript"/>
          </w:rPr>
          <w:t xml:space="preserve">29</w:t>
        </w:r>
      </w:hyperlink>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hyperlink w:anchor="ref-ipeirotis2025">
        <w:r>
          <w:rPr>
            <w:rStyle w:val="Hyperlink"/>
            <w:vertAlign w:val="superscript"/>
          </w:rPr>
          <w:t xml:space="preserve">68</w:t>
        </w:r>
      </w:hyperlink>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HITL-KG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hyperlink w:anchor="ref-ibm2022">
        <w:r>
          <w:rPr>
            <w:rStyle w:val="Hyperlink"/>
            <w:vertAlign w:val="superscript"/>
          </w:rPr>
          <w:t xml:space="preserve">69</w:t>
        </w:r>
      </w:hyperlink>
      <w:r>
        <w:rPr>
          <w:vertAlign w:val="superscript"/>
        </w:rPr>
        <w:t xml:space="preserve">,</w:t>
      </w:r>
      <w:hyperlink w:anchor="ref-strickland2019">
        <w:r>
          <w:rPr>
            <w:rStyle w:val="Hyperlink"/>
            <w:vertAlign w:val="superscript"/>
          </w:rPr>
          <w:t xml:space="preserve">70</w:t>
        </w:r>
      </w:hyperlink>
      <w:r>
        <w:t xml:space="preserve">, Haven</w:t>
      </w:r>
      <w:hyperlink w:anchor="ref-lavito2021">
        <w:r>
          <w:rPr>
            <w:rStyle w:val="Hyperlink"/>
            <w:vertAlign w:val="superscript"/>
          </w:rPr>
          <w:t xml:space="preserve">71</w:t>
        </w:r>
      </w:hyperlink>
      <w:r>
        <w:rPr>
          <w:vertAlign w:val="superscript"/>
        </w:rPr>
        <w:t xml:space="preserve">,</w:t>
      </w:r>
      <w:hyperlink w:anchor="ref-acchiardo2021">
        <w:r>
          <w:rPr>
            <w:rStyle w:val="Hyperlink"/>
            <w:vertAlign w:val="superscript"/>
          </w:rPr>
          <w:t xml:space="preserve">72</w:t>
        </w:r>
      </w:hyperlink>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hyperlink w:anchor="ref-gal2019">
        <w:r>
          <w:rPr>
            <w:rStyle w:val="Hyperlink"/>
            <w:vertAlign w:val="superscript"/>
          </w:rPr>
          <w:t xml:space="preserve">2</w:t>
        </w:r>
      </w:hyperlink>
      <w:r>
        <w:rPr>
          <w:vertAlign w:val="superscript"/>
        </w:rPr>
        <w:t xml:space="preserve">,</w:t>
      </w:r>
      <w:hyperlink w:anchor="ref-yang2020">
        <w:r>
          <w:rPr>
            <w:rStyle w:val="Hyperlink"/>
            <w:vertAlign w:val="superscript"/>
          </w:rPr>
          <w:t xml:space="preserve">73</w:t>
        </w:r>
      </w:hyperlink>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 Information, Knowledge, Wisdom</w:t>
      </w:r>
      <w:r>
        <w:t xml:space="preserve"> </w:t>
      </w:r>
      <w:r>
        <w:t xml:space="preserve">DSR: Design Science Research</w:t>
      </w:r>
      <w:r>
        <w:t xml:space="preserve"> </w:t>
      </w:r>
      <w:r>
        <w:t xml:space="preserve">EMRAM: Electronic Medical Record Adoption Model</w:t>
      </w:r>
      <w:r>
        <w:t xml:space="preserve"> </w:t>
      </w:r>
      <w:r>
        <w:t xml:space="preserve">HITL-KG: Human-in-the-Loop Knowledge Governance</w:t>
      </w:r>
      <w:r>
        <w:t xml:space="preserve"> </w:t>
      </w:r>
      <w:r>
        <w:t xml:space="preserve">HIMSS: Healthcare Information Management Systems Society</w:t>
      </w:r>
      <w:r>
        <w:t xml:space="preserve"> </w:t>
      </w:r>
      <w:r>
        <w:t xml:space="preserve">HITL: Human-in-the-Loop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7" w:name="references"/>
    <w:p>
      <w:pPr>
        <w:pStyle w:val="Heading1"/>
      </w:pPr>
      <w:r>
        <w:rPr>
          <w:rStyle w:val="SectionNumber"/>
        </w:rPr>
        <w:t xml:space="preserve">17</w:t>
      </w:r>
      <w:r>
        <w:tab/>
      </w:r>
      <w:r>
        <w:t xml:space="preserve">References</w:t>
      </w:r>
    </w:p>
    <w:bookmarkStart w:id="186" w:name="refs"/>
    <w:bookmarkStart w:id="42" w:name="ref-himss2024"/>
    <w:p>
      <w:pPr>
        <w:pStyle w:val="Bibliography"/>
      </w:pPr>
      <w:r>
        <w:t xml:space="preserve">1.</w:t>
      </w:r>
      <w:r>
        <w:t xml:space="preserve"> </w:t>
      </w:r>
      <w:r>
        <w:t xml:space="preserve">	</w:t>
      </w:r>
      <w:r>
        <w:t xml:space="preserve">Analytics H.</w:t>
      </w:r>
      <w:r>
        <w:t xml:space="preserve"> </w:t>
      </w:r>
      <w:r>
        <w:rPr>
          <w:i/>
          <w:iCs/>
        </w:rPr>
        <w:t xml:space="preserve">Analytics maturity assessment model (AMAM) global report. Healthcare Information and Management Systems Society</w:t>
      </w:r>
      <w:r>
        <w:t xml:space="preserve">.</w:t>
      </w:r>
      <w:r>
        <w:t xml:space="preserve"> </w:t>
      </w:r>
      <w:r>
        <w:t xml:space="preserve">HIMSS</w:t>
      </w:r>
      <w:r>
        <w:t xml:space="preserve"> </w:t>
      </w:r>
      <w:r>
        <w:t xml:space="preserve">Analytics; 2024.</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Published online 2025. doi:</w:t>
      </w:r>
      <w:hyperlink r:id="rId52">
        <w:r>
          <w:rPr>
            <w:rStyle w:val="Hyperlink"/>
          </w:rPr>
          <w:t xml:space="preserve">10.1097/PHH.0000000000001234</w:t>
        </w:r>
      </w:hyperlink>
    </w:p>
    <w:bookmarkEnd w:id="53"/>
    <w:bookmarkStart w:id="55" w:name="ref-american2023"/>
    <w:p>
      <w:pPr>
        <w:pStyle w:val="Bibliography"/>
      </w:pPr>
      <w:r>
        <w:t xml:space="preserve">8.</w:t>
      </w:r>
      <w:r>
        <w:t xml:space="preserve"> </w:t>
      </w:r>
      <w:r>
        <w:t xml:space="preserve">	</w:t>
      </w:r>
      <w:r>
        <w:t xml:space="preserve">NORC at the University of Chicago AHIMA &amp;.</w:t>
      </w:r>
      <w:r>
        <w:t xml:space="preserve"> </w:t>
      </w:r>
      <w:r>
        <w:rPr>
          <w:i/>
          <w:iCs/>
        </w:rPr>
        <w:t xml:space="preserve">Health information workforce survey report</w:t>
      </w:r>
      <w:r>
        <w:t xml:space="preserve">. American Health Information Management Association &amp;</w:t>
      </w:r>
      <w:r>
        <w:t xml:space="preserve"> </w:t>
      </w:r>
      <w:r>
        <w:t xml:space="preserve">NORC</w:t>
      </w:r>
      <w:r>
        <w:t xml:space="preserve"> </w:t>
      </w:r>
      <w:r>
        <w:t xml:space="preserve">at the University of Chicago; 2023.</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6">
        <w:r>
          <w:rPr>
            <w:rStyle w:val="Hyperlink"/>
          </w:rPr>
          <w:t xml:space="preserve">10.1016/j.techfore.2015.12.019</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58">
        <w:r>
          <w:rPr>
            <w:rStyle w:val="Hyperlink"/>
          </w:rPr>
          <w:t xml:space="preserve">10.1145/3366423.3380120</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Published online 2016. doi:</w:t>
      </w:r>
      <w:hyperlink r:id="rId62">
        <w:r>
          <w:rPr>
            <w:rStyle w:val="Hyperlink"/>
          </w:rPr>
          <w:t xml:space="preserve">10.1016/j.ijrobp.2016.03.003</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Published online 2013. doi:</w:t>
      </w:r>
      <w:hyperlink r:id="rId64">
        <w:r>
          <w:rPr>
            <w:rStyle w:val="Hyperlink"/>
          </w:rPr>
          <w:t xml:space="preserve">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Published online 2010. doi:</w:t>
      </w:r>
      <w:hyperlink r:id="rId66">
        <w:r>
          <w:rPr>
            <w:rStyle w:val="Hyperlink"/>
          </w:rPr>
          <w:t xml:space="preserve">10.3414/ME5119</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Published online 2004. doi:</w:t>
      </w:r>
      <w:hyperlink r:id="rId68">
        <w:r>
          <w:rPr>
            <w:rStyle w:val="Hyperlink"/>
          </w:rPr>
          <w:t xml:space="preserve">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Published online 2019. doi:</w:t>
      </w:r>
      <w:hyperlink r:id="rId70">
        <w:r>
          <w:rPr>
            <w:rStyle w:val="Hyperlink"/>
          </w:rPr>
          <w:t xml:space="preserve">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Published online 2006. doi:</w:t>
      </w:r>
      <w:hyperlink r:id="rId74">
        <w:r>
          <w:rPr>
            <w:rStyle w:val="Hyperlink"/>
          </w:rPr>
          <w:t xml:space="preserve">10.1108/13673270610650067</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0">
        <w:r>
          <w:rPr>
            <w:rStyle w:val="Hyperlink"/>
          </w:rPr>
          <w:t xml:space="preserve">10.1002/nop2.2097</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Published online 2024. doi:</w:t>
      </w:r>
      <w:hyperlink r:id="rId82">
        <w:r>
          <w:rPr>
            <w:rStyle w:val="Hyperlink"/>
          </w:rPr>
          <w:t xml:space="preserve">10.1155/2024/5063998</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Published online 2018. doi:</w:t>
      </w:r>
      <w:hyperlink r:id="rId84">
        <w:r>
          <w:rPr>
            <w:rStyle w:val="Hyperlink"/>
          </w:rPr>
          <w:t xml:space="preserve">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Published online 2025. doi:</w:t>
      </w:r>
      <w:hyperlink r:id="rId86">
        <w:r>
          <w:rPr>
            <w:rStyle w:val="Hyperlink"/>
          </w:rPr>
          <w:t xml:space="preserve">10.1108/JKM-03-2024-0262</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Published online 2011. doi:</w:t>
      </w:r>
      <w:hyperlink r:id="rId88">
        <w:r>
          <w:rPr>
            <w:rStyle w:val="Hyperlink"/>
          </w:rPr>
          <w:t xml:space="preserve">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0">
        <w:r>
          <w:rPr>
            <w:rStyle w:val="Hyperlink"/>
          </w:rPr>
          <w:t xml:space="preserve">https://wendyju.com/publications/18_ijee3593.pdf</w:t>
        </w:r>
      </w:hyperlink>
    </w:p>
    <w:bookmarkEnd w:id="91"/>
    <w:bookmarkStart w:id="93"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2">
        <w:r>
          <w:rPr>
            <w:rStyle w:val="Hyperlink"/>
          </w:rPr>
          <w:t xml:space="preserve">10.1177/1350508407071859</w:t>
        </w:r>
      </w:hyperlink>
    </w:p>
    <w:bookmarkEnd w:id="93"/>
    <w:bookmarkStart w:id="95"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4">
        <w:r>
          <w:rPr>
            <w:rStyle w:val="Hyperlink"/>
          </w:rPr>
          <w:t xml:space="preserve">https://arxiv.org/abs/2301.07695</w:t>
        </w:r>
      </w:hyperlink>
    </w:p>
    <w:bookmarkEnd w:id="95"/>
    <w:bookmarkStart w:id="97" w:name="ref-ziletti2024"/>
    <w:p>
      <w:pPr>
        <w:pStyle w:val="Bibliography"/>
      </w:pPr>
      <w:r>
        <w:t xml:space="preserve">29.</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96">
        <w:r>
          <w:rPr>
            <w:rStyle w:val="Hyperlink"/>
          </w:rPr>
          <w:t xml:space="preserve">https://arxiv.org/abs/2403.09226</w:t>
        </w:r>
      </w:hyperlink>
    </w:p>
    <w:bookmarkEnd w:id="97"/>
    <w:bookmarkStart w:id="99" w:name="ref-bravorocca2023"/>
    <w:p>
      <w:pPr>
        <w:pStyle w:val="Bibliography"/>
      </w:pPr>
      <w:r>
        <w:t xml:space="preserve">30.</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8">
        <w:r>
          <w:rPr>
            <w:rStyle w:val="Hyperlink"/>
          </w:rPr>
          <w:t xml:space="preserve">https://www.tdx.cat/bitstream/handle/10803/695722/TGJBR1de1.pdf?sequence=1</w:t>
        </w:r>
      </w:hyperlink>
    </w:p>
    <w:bookmarkEnd w:id="99"/>
    <w:bookmarkStart w:id="101" w:name="ref-mosqueirarey2023"/>
    <w:p>
      <w:pPr>
        <w:pStyle w:val="Bibliography"/>
      </w:pPr>
      <w:r>
        <w:t xml:space="preserve">31.</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0">
        <w:r>
          <w:rPr>
            <w:rStyle w:val="Hyperlink"/>
          </w:rPr>
          <w:t xml:space="preserve">https://link.springer.com/content/pdf/10.1007/s10462-022-10246-w.pdf</w:t>
        </w:r>
      </w:hyperlink>
    </w:p>
    <w:bookmarkEnd w:id="101"/>
    <w:bookmarkStart w:id="103" w:name="ref-benbya2004"/>
    <w:p>
      <w:pPr>
        <w:pStyle w:val="Bibliography"/>
      </w:pPr>
      <w:r>
        <w:t xml:space="preserve">32.</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Published online 2004. doi:</w:t>
      </w:r>
      <w:hyperlink r:id="rId102">
        <w:r>
          <w:rPr>
            <w:rStyle w:val="Hyperlink"/>
          </w:rPr>
          <w:t xml:space="preserve">10.1016/j.ijinfomgt.2003.12.012</w:t>
        </w:r>
      </w:hyperlink>
    </w:p>
    <w:bookmarkEnd w:id="103"/>
    <w:bookmarkStart w:id="105" w:name="ref-whittaker2008"/>
    <w:p>
      <w:pPr>
        <w:pStyle w:val="Bibliography"/>
      </w:pPr>
      <w:r>
        <w:t xml:space="preserve">33.</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4">
        <w:r>
          <w:rPr>
            <w:rStyle w:val="Hyperlink"/>
          </w:rPr>
          <w:t xml:space="preserve">https://www.academia.edu/download/41283190/Design_and_evaluation_of_systems_to_supp20160117-25708-98zc50.pdf</w:t>
        </w:r>
      </w:hyperlink>
    </w:p>
    <w:bookmarkEnd w:id="105"/>
    <w:bookmarkStart w:id="107" w:name="ref-mannapur2025"/>
    <w:p>
      <w:pPr>
        <w:pStyle w:val="Bibliography"/>
      </w:pPr>
      <w:r>
        <w:t xml:space="preserve">34.</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6">
        <w:r>
          <w:rPr>
            <w:rStyle w:val="Hyperlink"/>
          </w:rPr>
          <w:t xml:space="preserve">https://www.quantbeckman.com/api/v1/file/5b240742-bf0d-4f8c-a0f9-cb29fab42611.pdf</w:t>
        </w:r>
      </w:hyperlink>
    </w:p>
    <w:bookmarkEnd w:id="107"/>
    <w:bookmarkStart w:id="109"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8">
        <w:r>
          <w:rPr>
            <w:rStyle w:val="Hyperlink"/>
          </w:rPr>
          <w:t xml:space="preserve">10.63282/3050-9262.IJAIDSML-V6I4P130</w:t>
        </w:r>
      </w:hyperlink>
    </w:p>
    <w:bookmarkEnd w:id="109"/>
    <w:bookmarkStart w:id="111" w:name="ref-himss2024news"/>
    <w:p>
      <w:pPr>
        <w:pStyle w:val="Bibliography"/>
      </w:pPr>
      <w:r>
        <w:t xml:space="preserve">36.</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10">
        <w:r>
          <w:rPr>
            <w:rStyle w:val="Hyperlink"/>
          </w:rPr>
          <w:t xml:space="preserve">https://www.healthcareitnews.com/news/asia/himss24-apac-adoption-model-analytics-maturity-gets-facelift</w:t>
        </w:r>
      </w:hyperlink>
    </w:p>
    <w:bookmarkEnd w:id="111"/>
    <w:bookmarkStart w:id="113" w:name="ref-health2020"/>
    <w:p>
      <w:pPr>
        <w:pStyle w:val="Bibliography"/>
      </w:pPr>
      <w:r>
        <w:t xml:space="preserve">37.</w:t>
      </w:r>
      <w:r>
        <w:t xml:space="preserve"> </w:t>
      </w:r>
      <w:r>
        <w:t xml:space="preserve">	</w:t>
      </w:r>
      <w:r>
        <w:t xml:space="preserve">Catalyst H.</w:t>
      </w:r>
      <w:r>
        <w:t xml:space="preserve"> </w:t>
      </w:r>
      <w:r>
        <w:t xml:space="preserve">The healthcare analytics adoption model: A roadmap to analytic maturity</w:t>
      </w:r>
      <w:r>
        <w:t xml:space="preserve">. Published online 2020.</w:t>
      </w:r>
      <w:r>
        <w:t xml:space="preserve"> </w:t>
      </w:r>
      <w:hyperlink r:id="rId112">
        <w:r>
          <w:rPr>
            <w:rStyle w:val="Hyperlink"/>
          </w:rPr>
          <w:t xml:space="preserve">https://www.healthcatalyst.com/learn/insights/healthcare-analytics-adoption-model-roadmap-analytic-maturity</w:t>
        </w:r>
      </w:hyperlink>
    </w:p>
    <w:bookmarkEnd w:id="113"/>
    <w:bookmarkStart w:id="115" w:name="ref-snowdon2024"/>
    <w:p>
      <w:pPr>
        <w:pStyle w:val="Bibliography"/>
      </w:pPr>
      <w:r>
        <w:t xml:space="preserve">38.</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14">
        <w:r>
          <w:rPr>
            <w:rStyle w:val="Hyperlink"/>
          </w:rPr>
          <w:t xml:space="preserve">10.2196/56316</w:t>
        </w:r>
      </w:hyperlink>
    </w:p>
    <w:bookmarkEnd w:id="115"/>
    <w:bookmarkStart w:id="117" w:name="ref-yang2021"/>
    <w:p>
      <w:pPr>
        <w:pStyle w:val="Bibliography"/>
      </w:pPr>
      <w:r>
        <w:t xml:space="preserve">39.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16">
        <w:r>
          <w:rPr>
            <w:rStyle w:val="Hyperlink"/>
          </w:rPr>
          <w:t xml:space="preserve">https://jamanetwork.com/journals/jamanetworkopen/fullarticle/2777777</w:t>
        </w:r>
      </w:hyperlink>
    </w:p>
    <w:bookmarkEnd w:id="117"/>
    <w:bookmarkStart w:id="119" w:name="ref-latrella2024"/>
    <w:p>
      <w:pPr>
        <w:pStyle w:val="Bibliography"/>
      </w:pPr>
      <w:r>
        <w:t xml:space="preserve">40.</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18">
        <w:r>
          <w:rPr>
            <w:rStyle w:val="Hyperlink"/>
          </w:rPr>
          <w:t xml:space="preserve">10.69554/QHSO5671</w:t>
        </w:r>
      </w:hyperlink>
    </w:p>
    <w:bookmarkEnd w:id="119"/>
    <w:bookmarkStart w:id="121" w:name="ref-nashid2023"/>
    <w:p>
      <w:pPr>
        <w:pStyle w:val="Bibliography"/>
      </w:pPr>
      <w:r>
        <w:t xml:space="preserve">41.</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20">
        <w:r>
          <w:rPr>
            <w:rStyle w:val="Hyperlink"/>
          </w:rPr>
          <w:t xml:space="preserve">10.25163/business.1110345</w:t>
        </w:r>
      </w:hyperlink>
    </w:p>
    <w:bookmarkEnd w:id="121"/>
    <w:bookmarkStart w:id="123" w:name="ref-shahbaz2019"/>
    <w:p>
      <w:pPr>
        <w:pStyle w:val="Bibliography"/>
      </w:pPr>
      <w:r>
        <w:t xml:space="preserve">42.</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Published online 2019. doi:</w:t>
      </w:r>
      <w:hyperlink r:id="rId122">
        <w:r>
          <w:rPr>
            <w:rStyle w:val="Hyperlink"/>
          </w:rPr>
          <w:t xml:space="preserve">10.1186/s40537-019-0170-y</w:t>
        </w:r>
      </w:hyperlink>
    </w:p>
    <w:bookmarkEnd w:id="123"/>
    <w:bookmarkStart w:id="125" w:name="ref-kamble2019"/>
    <w:p>
      <w:pPr>
        <w:pStyle w:val="Bibliography"/>
      </w:pPr>
      <w:r>
        <w:t xml:space="preserve">43.</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Published online 2019. doi:</w:t>
      </w:r>
      <w:hyperlink r:id="rId124">
        <w:r>
          <w:rPr>
            <w:rStyle w:val="Hyperlink"/>
          </w:rPr>
          <w:t xml:space="preserve">10.1080/20479700.2018.1531606</w:t>
        </w:r>
      </w:hyperlink>
    </w:p>
    <w:bookmarkEnd w:id="125"/>
    <w:bookmarkStart w:id="127" w:name="ref-wynendaele2025"/>
    <w:p>
      <w:pPr>
        <w:pStyle w:val="Bibliography"/>
      </w:pPr>
      <w:r>
        <w:t xml:space="preserve">44.</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Published online 2025. doi:</w:t>
      </w:r>
      <w:hyperlink r:id="rId126">
        <w:r>
          <w:rPr>
            <w:rStyle w:val="Hyperlink"/>
          </w:rPr>
          <w:t xml:space="preserve">10.1186/s12913-025-12966-5</w:t>
        </w:r>
      </w:hyperlink>
    </w:p>
    <w:bookmarkEnd w:id="127"/>
    <w:bookmarkStart w:id="129" w:name="ref-hackney2024"/>
    <w:p>
      <w:pPr>
        <w:pStyle w:val="Bibliography"/>
      </w:pPr>
      <w:r>
        <w:t xml:space="preserve">45.</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28">
        <w:r>
          <w:rPr>
            <w:rStyle w:val="Hyperlink"/>
          </w:rPr>
          <w:t xml:space="preserve">https://search.proquest.com/openview/9a3a9ef301c01ff0129d07f685b8643f/1</w:t>
        </w:r>
      </w:hyperlink>
    </w:p>
    <w:bookmarkEnd w:id="129"/>
    <w:bookmarkStart w:id="131" w:name="ref-blaskovic2025"/>
    <w:p>
      <w:pPr>
        <w:pStyle w:val="Bibliography"/>
      </w:pPr>
      <w:r>
        <w:t xml:space="preserve">46.</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30">
        <w:r>
          <w:rPr>
            <w:rStyle w:val="Hyperlink"/>
          </w:rPr>
          <w:t xml:space="preserve">10.3390/bdcc9100256</w:t>
        </w:r>
      </w:hyperlink>
    </w:p>
    <w:bookmarkEnd w:id="131"/>
    <w:bookmarkStart w:id="133" w:name="ref-marshan2024"/>
    <w:p>
      <w:pPr>
        <w:pStyle w:val="Bibliography"/>
      </w:pPr>
      <w:r>
        <w:t xml:space="preserve">47.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Published online 2024. doi:</w:t>
      </w:r>
      <w:hyperlink r:id="rId132">
        <w:r>
          <w:rPr>
            <w:rStyle w:val="Hyperlink"/>
          </w:rPr>
          <w:t xml:space="preserve">10.3389/fdata.2024.1371680</w:t>
        </w:r>
      </w:hyperlink>
    </w:p>
    <w:bookmarkEnd w:id="133"/>
    <w:bookmarkStart w:id="135" w:name="ref-chen2026graph"/>
    <w:p>
      <w:pPr>
        <w:pStyle w:val="Bibliography"/>
      </w:pPr>
      <w:r>
        <w:t xml:space="preserve">48.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Published online 2026. doi:</w:t>
      </w:r>
      <w:hyperlink r:id="rId134">
        <w:r>
          <w:rPr>
            <w:rStyle w:val="Hyperlink"/>
          </w:rPr>
          <w:t xml:space="preserve">10.1016/j.patcog.2025.111601</w:t>
        </w:r>
      </w:hyperlink>
    </w:p>
    <w:bookmarkEnd w:id="135"/>
    <w:bookmarkStart w:id="137" w:name="ref-tarbell2024"/>
    <w:p>
      <w:pPr>
        <w:pStyle w:val="Bibliography"/>
      </w:pPr>
      <w:r>
        <w:t xml:space="preserve">49.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36">
        <w:r>
          <w:rPr>
            <w:rStyle w:val="Hyperlink"/>
          </w:rPr>
          <w:t xml:space="preserve">https://pmc.ncbi.nlm.nih.gov/articles/PMC10785918/</w:t>
        </w:r>
      </w:hyperlink>
    </w:p>
    <w:bookmarkEnd w:id="137"/>
    <w:bookmarkStart w:id="139" w:name="ref-yuan2019"/>
    <w:p>
      <w:pPr>
        <w:pStyle w:val="Bibliography"/>
      </w:pPr>
      <w:r>
        <w:t xml:space="preserve">50.</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38">
        <w:r>
          <w:rPr>
            <w:rStyle w:val="Hyperlink"/>
          </w:rPr>
          <w:t xml:space="preserve">10.1093/jamia/ocy178</w:t>
        </w:r>
      </w:hyperlink>
    </w:p>
    <w:bookmarkEnd w:id="139"/>
    <w:bookmarkStart w:id="141" w:name="ref-nittala2024"/>
    <w:p>
      <w:pPr>
        <w:pStyle w:val="Bibliography"/>
      </w:pPr>
      <w:r>
        <w:t xml:space="preserve">51.</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40">
        <w:r>
          <w:rPr>
            <w:rStyle w:val="Hyperlink"/>
          </w:rPr>
          <w:t xml:space="preserve">https://www.ijetcsit.org/index.php/ijetcsit/article/view/458</w:t>
        </w:r>
      </w:hyperlink>
    </w:p>
    <w:bookmarkEnd w:id="141"/>
    <w:bookmarkStart w:id="143" w:name="ref-anthropic2025"/>
    <w:p>
      <w:pPr>
        <w:pStyle w:val="Bibliography"/>
      </w:pPr>
      <w:r>
        <w:t xml:space="preserve">52.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42">
        <w:r>
          <w:rPr>
            <w:rStyle w:val="Hyperlink"/>
          </w:rPr>
          <w:t xml:space="preserve">https://resources.anthropic.com/code-modernization-playbook</w:t>
        </w:r>
      </w:hyperlink>
    </w:p>
    <w:bookmarkEnd w:id="143"/>
    <w:bookmarkStart w:id="145" w:name="ref-hendrix1978"/>
    <w:p>
      <w:pPr>
        <w:pStyle w:val="Bibliography"/>
      </w:pPr>
      <w:r>
        <w:t xml:space="preserve">53.</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Published online 1978. doi:</w:t>
      </w:r>
      <w:hyperlink r:id="rId144">
        <w:r>
          <w:rPr>
            <w:rStyle w:val="Hyperlink"/>
          </w:rPr>
          <w:t xml:space="preserve">10.1145/320251.320253</w:t>
        </w:r>
      </w:hyperlink>
    </w:p>
    <w:bookmarkEnd w:id="145"/>
    <w:bookmarkStart w:id="147" w:name="ref-ogunwole2023"/>
    <w:p>
      <w:pPr>
        <w:pStyle w:val="Bibliography"/>
      </w:pPr>
      <w:r>
        <w:t xml:space="preserve">54.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46">
        <w:r>
          <w:rPr>
            <w:rStyle w:val="Hyperlink"/>
          </w:rPr>
          <w:t xml:space="preserve">https://www.allmultidisciplinaryjournal.com/uploads/archives/20250306182550_MGE-2025-2-018.1.pdf</w:t>
        </w:r>
      </w:hyperlink>
    </w:p>
    <w:bookmarkEnd w:id="147"/>
    <w:bookmarkStart w:id="149" w:name="ref-arora2025"/>
    <w:p>
      <w:pPr>
        <w:pStyle w:val="Bibliography"/>
      </w:pPr>
      <w:r>
        <w:t xml:space="preserve">55.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48">
        <w:r>
          <w:rPr>
            <w:rStyle w:val="Hyperlink"/>
          </w:rPr>
          <w:t xml:space="preserve">https://papers.ssrn.com/sol3/papers.cfm?abstract_id=5268176</w:t>
        </w:r>
      </w:hyperlink>
    </w:p>
    <w:bookmarkEnd w:id="149"/>
    <w:bookmarkStart w:id="151" w:name="ref-ignatowicz2023"/>
    <w:p>
      <w:pPr>
        <w:pStyle w:val="Bibliography"/>
      </w:pPr>
      <w:r>
        <w:t xml:space="preserve">56.</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50">
        <w:r>
          <w:rPr>
            <w:rStyle w:val="Hyperlink"/>
          </w:rPr>
          <w:t xml:space="preserve">10.1186/s12913-023-09242-9</w:t>
        </w:r>
      </w:hyperlink>
    </w:p>
    <w:bookmarkEnd w:id="151"/>
    <w:bookmarkStart w:id="153" w:name="ref-ratliff2025"/>
    <w:p>
      <w:pPr>
        <w:pStyle w:val="Bibliography"/>
      </w:pPr>
      <w:r>
        <w:t xml:space="preserve">57.</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52">
        <w:r>
          <w:rPr>
            <w:rStyle w:val="Hyperlink"/>
          </w:rPr>
          <w:t xml:space="preserve">https://journals.lww.com/jhmonline/fulltext/2025/05000/organizational_resilience_in_healthcare__a_scoping.4.aspx</w:t>
        </w:r>
      </w:hyperlink>
    </w:p>
    <w:bookmarkEnd w:id="153"/>
    <w:bookmarkStart w:id="155" w:name="ref-valiaiev2025"/>
    <w:p>
      <w:pPr>
        <w:pStyle w:val="Bibliography"/>
      </w:pPr>
      <w:r>
        <w:t xml:space="preserve">58.</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54">
        <w:r>
          <w:rPr>
            <w:rStyle w:val="Hyperlink"/>
          </w:rPr>
          <w:t xml:space="preserve">https://search.proquest.com/openview/aa9acce88c488cbb8c6b3c8339062319/1</w:t>
        </w:r>
      </w:hyperlink>
    </w:p>
    <w:bookmarkEnd w:id="155"/>
    <w:bookmarkStart w:id="157" w:name="ref-betha2023"/>
    <w:p>
      <w:pPr>
        <w:pStyle w:val="Bibliography"/>
      </w:pPr>
      <w:r>
        <w:t xml:space="preserve">59.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56">
        <w:r>
          <w:rPr>
            <w:rStyle w:val="Hyperlink"/>
          </w:rPr>
          <w:t xml:space="preserve">https://www.ijaidr.com/papers/2023/1/1299.pdf</w:t>
        </w:r>
      </w:hyperlink>
    </w:p>
    <w:bookmarkEnd w:id="157"/>
    <w:bookmarkStart w:id="159" w:name="ref-kottam2025"/>
    <w:p>
      <w:pPr>
        <w:pStyle w:val="Bibliography"/>
      </w:pPr>
      <w:r>
        <w:t xml:space="preserve">60.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58">
        <w:r>
          <w:rPr>
            <w:rStyle w:val="Hyperlink"/>
          </w:rPr>
          <w:t xml:space="preserve">10.1109/ICSE-SEIP62840.2025.00045</w:t>
        </w:r>
      </w:hyperlink>
    </w:p>
    <w:bookmarkEnd w:id="159"/>
    <w:bookmarkStart w:id="161" w:name="ref-alukal2006"/>
    <w:p>
      <w:pPr>
        <w:pStyle w:val="Bibliography"/>
      </w:pPr>
      <w:r>
        <w:t xml:space="preserve">61.</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64">
        <w:r>
          <w:rPr>
            <w:rStyle w:val="Hyperlink"/>
          </w:rPr>
          <w:t xml:space="preserv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66">
        <w:r>
          <w:rPr>
            <w:rStyle w:val="Hyperlink"/>
          </w:rPr>
          <w:t xml:space="preserve">10.1093/jamia/ocae209</w:t>
        </w:r>
      </w:hyperlink>
    </w:p>
    <w:bookmarkEnd w:id="167"/>
    <w:bookmarkStart w:id="169" w:name="ref-loshin2010"/>
    <w:p>
      <w:pPr>
        <w:pStyle w:val="Bibliography"/>
      </w:pPr>
      <w:r>
        <w:t xml:space="preserve">65.</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70">
        <w:r>
          <w:rPr>
            <w:rStyle w:val="Hyperlink"/>
          </w:rPr>
          <w:t xml:space="preserve">https://www.ijetcsit.org/index.php/ijetcsit/article/view/522</w:t>
        </w:r>
      </w:hyperlink>
    </w:p>
    <w:bookmarkEnd w:id="171"/>
    <w:bookmarkStart w:id="173" w:name="ref-zimmermann2017"/>
    <w:p>
      <w:pPr>
        <w:pStyle w:val="Bibliography"/>
      </w:pPr>
      <w:r>
        <w:t xml:space="preserve">67.</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72">
        <w:r>
          <w:rPr>
            <w:rStyle w:val="Hyperlink"/>
          </w:rPr>
          <w:t xml:space="preserve">10.2308/isys-51386</w:t>
        </w:r>
      </w:hyperlink>
    </w:p>
    <w:bookmarkEnd w:id="173"/>
    <w:bookmarkStart w:id="175" w:name="ref-ipeirotis2025"/>
    <w:p>
      <w:pPr>
        <w:pStyle w:val="Bibliography"/>
      </w:pPr>
      <w:r>
        <w:t xml:space="preserve">68.</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74">
        <w:r>
          <w:rPr>
            <w:rStyle w:val="Hyperlink"/>
          </w:rPr>
          <w:t xml:space="preserve">https://arxiv.org/abs/2511.14718</w:t>
        </w:r>
      </w:hyperlink>
    </w:p>
    <w:bookmarkEnd w:id="175"/>
    <w:bookmarkStart w:id="177" w:name="ref-ibm2022"/>
    <w:p>
      <w:pPr>
        <w:pStyle w:val="Bibliography"/>
      </w:pPr>
      <w:r>
        <w:t xml:space="preserve">69.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176">
        <w:r>
          <w:rPr>
            <w:rStyle w:val="Hyperlink"/>
          </w:rPr>
          <w:t xml:space="preserve">https://newsroom.ibm.com/2022-01-21-Francisco-Partners-to-Acquire-IBMs-Healthcare-Data-and-Analytics-Assets</w:t>
        </w:r>
      </w:hyperlink>
    </w:p>
    <w:bookmarkEnd w:id="177"/>
    <w:bookmarkStart w:id="179" w:name="ref-strickland2019"/>
    <w:p>
      <w:pPr>
        <w:pStyle w:val="Bibliography"/>
      </w:pPr>
      <w:r>
        <w:t xml:space="preserve">70.</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178">
        <w:r>
          <w:rPr>
            <w:rStyle w:val="Hyperlink"/>
          </w:rPr>
          <w:t xml:space="preserve">10.1109/MSPEC.2019.8678513</w:t>
        </w:r>
      </w:hyperlink>
    </w:p>
    <w:bookmarkEnd w:id="179"/>
    <w:bookmarkStart w:id="181" w:name="ref-lavito2021"/>
    <w:p>
      <w:pPr>
        <w:pStyle w:val="Bibliography"/>
      </w:pPr>
      <w:r>
        <w:t xml:space="preserve">71.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180">
        <w:r>
          <w:rPr>
            <w:rStyle w:val="Hyperlink"/>
          </w:rPr>
          <w:t xml:space="preserve">https://www.cnbc.com/2021/01/04/haven-the-amazon-berkshire-jpmorgan-venture-to-disrupt-healthcare-is-disbanding-after-3-years.html</w:t>
        </w:r>
      </w:hyperlink>
    </w:p>
    <w:bookmarkEnd w:id="181"/>
    <w:bookmarkStart w:id="183" w:name="ref-acchiardo2021"/>
    <w:p>
      <w:pPr>
        <w:pStyle w:val="Bibliography"/>
      </w:pPr>
      <w:r>
        <w:t xml:space="preserve">72.</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182">
        <w:r>
          <w:rPr>
            <w:rStyle w:val="Hyperlink"/>
          </w:rPr>
          <w:t xml:space="preserve">10.1016/j.acra.2021.03.023</w:t>
        </w:r>
      </w:hyperlink>
    </w:p>
    <w:bookmarkEnd w:id="183"/>
    <w:bookmarkStart w:id="185" w:name="ref-yang2020"/>
    <w:p>
      <w:pPr>
        <w:pStyle w:val="Bibliography"/>
      </w:pPr>
      <w:r>
        <w:t xml:space="preserve">73.</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184">
        <w:r>
          <w:rPr>
            <w:rStyle w:val="Hyperlink"/>
          </w:rPr>
          <w:t xml:space="preserve">https://oulurepo.oulu.fi/bitstream/handle/10024/27921/nbnfi-fe2020050424858.pdf</w:t>
        </w:r>
      </w:hyperlink>
    </w:p>
    <w:bookmarkEnd w:id="185"/>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94" Target="https://arxiv.org/abs/2301.07695" TargetMode="External" /><Relationship Type="http://schemas.openxmlformats.org/officeDocument/2006/relationships/hyperlink" Id="rId96" Target="https://arxiv.org/abs/2403.09226" TargetMode="External" /><Relationship Type="http://schemas.openxmlformats.org/officeDocument/2006/relationships/hyperlink" Id="rId174"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80" Target="https://doi.org/10.1002/nop2.2097" TargetMode="External" /><Relationship Type="http://schemas.openxmlformats.org/officeDocument/2006/relationships/hyperlink" Id="rId164" Target="https://doi.org/10.1007/s10728-025-00537-y" TargetMode="External" /><Relationship Type="http://schemas.openxmlformats.org/officeDocument/2006/relationships/hyperlink" Id="rId182" Target="https://doi.org/10.1016/j.acra.2021.03.023" TargetMode="External" /><Relationship Type="http://schemas.openxmlformats.org/officeDocument/2006/relationships/hyperlink" Id="rId102" Target="https://doi.org/10.1016/j.ijinfomgt.2003.12.012" TargetMode="External" /><Relationship Type="http://schemas.openxmlformats.org/officeDocument/2006/relationships/hyperlink" Id="rId62" Target="https://doi.org/10.1016/j.ijrobp.2016.03.003" TargetMode="External" /><Relationship Type="http://schemas.openxmlformats.org/officeDocument/2006/relationships/hyperlink" Id="rId134" Target="https://doi.org/10.1016/j.patcog.2025.111601" TargetMode="External" /><Relationship Type="http://schemas.openxmlformats.org/officeDocument/2006/relationships/hyperlink" Id="rId56" Target="https://doi.org/10.1016/j.techfore.2015.12.019" TargetMode="External" /><Relationship Type="http://schemas.openxmlformats.org/officeDocument/2006/relationships/hyperlink" Id="rId124" Target="https://doi.org/10.1080/20479700.2018.1531606" TargetMode="External" /><Relationship Type="http://schemas.openxmlformats.org/officeDocument/2006/relationships/hyperlink" Id="rId166" Target="https://doi.org/10.1093/jamia/ocae209" TargetMode="External" /><Relationship Type="http://schemas.openxmlformats.org/officeDocument/2006/relationships/hyperlink" Id="rId138" Target="https://doi.org/10.1093/jamia/ocy178" TargetMode="External" /><Relationship Type="http://schemas.openxmlformats.org/officeDocument/2006/relationships/hyperlink" Id="rId52" Target="https://doi.org/10.1097/PHH.0000000000001234" TargetMode="External" /><Relationship Type="http://schemas.openxmlformats.org/officeDocument/2006/relationships/hyperlink" Id="rId74" Target="https://doi.org/10.1108/13673270610650067" TargetMode="External" /><Relationship Type="http://schemas.openxmlformats.org/officeDocument/2006/relationships/hyperlink" Id="rId86" Target="https://doi.org/10.1108/JKM-03-2024-0262" TargetMode="External" /><Relationship Type="http://schemas.openxmlformats.org/officeDocument/2006/relationships/hyperlink" Id="rId84" Target="https://doi.org/10.1108/JKM-08-2016-0338" TargetMode="External" /><Relationship Type="http://schemas.openxmlformats.org/officeDocument/2006/relationships/hyperlink" Id="rId158" Target="https://doi.org/10.1109/ICSE-SEIP62840.2025.00045" TargetMode="External" /><Relationship Type="http://schemas.openxmlformats.org/officeDocument/2006/relationships/hyperlink" Id="rId178" Target="https://doi.org/10.1109/MSPEC.2019.8678513" TargetMode="External" /><Relationship Type="http://schemas.openxmlformats.org/officeDocument/2006/relationships/hyperlink" Id="rId88" Target="https://doi.org/10.1111/j.1540-5885.2010.00798.x" TargetMode="External" /><Relationship Type="http://schemas.openxmlformats.org/officeDocument/2006/relationships/hyperlink" Id="rId68" Target="https://doi.org/10.1145/1017114.1017118" TargetMode="External" /><Relationship Type="http://schemas.openxmlformats.org/officeDocument/2006/relationships/hyperlink" Id="rId144" Target="https://doi.org/10.1145/320251.320253" TargetMode="External" /><Relationship Type="http://schemas.openxmlformats.org/officeDocument/2006/relationships/hyperlink" Id="rId58" Target="https://doi.org/10.1145/3366423.3380120" TargetMode="External" /><Relationship Type="http://schemas.openxmlformats.org/officeDocument/2006/relationships/hyperlink" Id="rId82" Target="https://doi.org/10.1155/2024/5063998" TargetMode="External" /><Relationship Type="http://schemas.openxmlformats.org/officeDocument/2006/relationships/hyperlink" Id="rId92" Target="https://doi.org/10.1177/1350508407071859" TargetMode="External" /><Relationship Type="http://schemas.openxmlformats.org/officeDocument/2006/relationships/hyperlink" Id="rId64" Target="https://doi.org/10.1186/1478-4491-11-35" TargetMode="External" /><Relationship Type="http://schemas.openxmlformats.org/officeDocument/2006/relationships/hyperlink" Id="rId150" Target="https://doi.org/10.1186/s12913-023-09242-9" TargetMode="External" /><Relationship Type="http://schemas.openxmlformats.org/officeDocument/2006/relationships/hyperlink" Id="rId126" Target="https://doi.org/10.1186/s12913-025-12966-5" TargetMode="External" /><Relationship Type="http://schemas.openxmlformats.org/officeDocument/2006/relationships/hyperlink" Id="rId122" Target="https://doi.org/10.1186/s40537-019-0170-y" TargetMode="External" /><Relationship Type="http://schemas.openxmlformats.org/officeDocument/2006/relationships/hyperlink" Id="rId114" Target="https://doi.org/10.2196/56316" TargetMode="External" /><Relationship Type="http://schemas.openxmlformats.org/officeDocument/2006/relationships/hyperlink" Id="rId172" Target="https://doi.org/10.2308/isys-51386" TargetMode="External" /><Relationship Type="http://schemas.openxmlformats.org/officeDocument/2006/relationships/hyperlink" Id="rId120" Target="https://doi.org/10.25163/business.1110345" TargetMode="External" /><Relationship Type="http://schemas.openxmlformats.org/officeDocument/2006/relationships/hyperlink" Id="rId132" Target="https://doi.org/10.3389/fdata.2024.1371680" TargetMode="External" /><Relationship Type="http://schemas.openxmlformats.org/officeDocument/2006/relationships/hyperlink" Id="rId70" Target="https://doi.org/10.3389/fpsyg.2019.02730" TargetMode="External" /><Relationship Type="http://schemas.openxmlformats.org/officeDocument/2006/relationships/hyperlink" Id="rId130" Target="https://doi.org/10.3390/bdcc9100256" TargetMode="External" /><Relationship Type="http://schemas.openxmlformats.org/officeDocument/2006/relationships/hyperlink" Id="rId66" Target="https://doi.org/10.3414/ME5119" TargetMode="External" /><Relationship Type="http://schemas.openxmlformats.org/officeDocument/2006/relationships/hyperlink" Id="rId108" Target="https://doi.org/10.63282/3050-9262.IJAIDSML-V6I4P130" TargetMode="External" /><Relationship Type="http://schemas.openxmlformats.org/officeDocument/2006/relationships/hyperlink" Id="rId118" Target="https://doi.org/10.69554/QHSO5671"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116" Target="https://jamanetwork.com/journals/jamanetworkopen/fullarticle/2777777" TargetMode="External" /><Relationship Type="http://schemas.openxmlformats.org/officeDocument/2006/relationships/hyperlink" Id="rId152" Target="https://journals.lww.com/jhmonline/fulltext/2025/05000/organizational_resilience_in_healthcare__a_scoping.4.aspx" TargetMode="External" /><Relationship Type="http://schemas.openxmlformats.org/officeDocument/2006/relationships/hyperlink" Id="rId100" Target="https://link.springer.com/content/pdf/10.1007/s10462-022-10246-w.pdf" TargetMode="External" /><Relationship Type="http://schemas.openxmlformats.org/officeDocument/2006/relationships/hyperlink" Id="rId176"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184"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8" Target="https://papers.ssrn.com/sol3/papers.cfm?abstract_id=5268176" TargetMode="External" /><Relationship Type="http://schemas.openxmlformats.org/officeDocument/2006/relationships/hyperlink" Id="rId136" Target="https://pmc.ncbi.nlm.nih.gov/articles/PMC10785918/" TargetMode="External" /><Relationship Type="http://schemas.openxmlformats.org/officeDocument/2006/relationships/hyperlink" Id="rId142" Target="https://resources.anthropic.com/code-modernization-playbook" TargetMode="External" /><Relationship Type="http://schemas.openxmlformats.org/officeDocument/2006/relationships/hyperlink" Id="rId128" Target="https://search.proquest.com/openview/9a3a9ef301c01ff0129d07f685b8643f/1" TargetMode="External" /><Relationship Type="http://schemas.openxmlformats.org/officeDocument/2006/relationships/hyperlink" Id="rId154"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4" Target="https://www.academia.edu/download/41283190/Design_and_evaluation_of_systems_to_supp20160117-25708-98zc50.pdf"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6" Target="https://www.allmultidisciplinaryjournal.com/uploads/archives/20250306182550_MGE-2025-2-018.1.pdf" TargetMode="External" /><Relationship Type="http://schemas.openxmlformats.org/officeDocument/2006/relationships/hyperlink" Id="rId180"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110" Target="https://www.healthcareitnews.com/news/asia/himss24-apac-adoption-model-analytics-maturity-gets-facelift" TargetMode="External" /><Relationship Type="http://schemas.openxmlformats.org/officeDocument/2006/relationships/hyperlink" Id="rId112"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6" Target="https://www.ijaidr.com/papers/2023/1/1299.pdf" TargetMode="External" /><Relationship Type="http://schemas.openxmlformats.org/officeDocument/2006/relationships/hyperlink" Id="rId140"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6" Target="https://www.quantbeckman.com/api/v1/file/5b240742-bf0d-4f8c-a0f9-cb29fab42611.pdf" TargetMode="External" /><Relationship Type="http://schemas.openxmlformats.org/officeDocument/2006/relationships/hyperlink" Id="rId98"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2026-03-30T00:50:55Z</dcterms:created>
  <dcterms:modified xsi:type="dcterms:W3CDTF">2026-03-30T00:50:55Z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