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July 2026</w:t>
      </w:r>
    </w:p>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externalization cycle that captures tacit knowledge as a byproduct of routine analytics. These steps correspond to steps 1-5 of the six-step Validated Query Cycle shown in the main paper’s Figure 2; the sixth step, Persistence, is the cumulative outcome of repeated cycles: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 on a synthetic database.</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the synthetic organization’s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this synthetic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2026-07-11T18:40:10Z</dcterms:created>
  <dcterms:modified xsi:type="dcterms:W3CDTF">2026-07-11T18:40:10Z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July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July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False</vt:lpwstr>
  </property>
  <property fmtid="{D5CDD505-2E9C-101B-9397-08002B2CF9AE}" pid="36" name="urlcolor">
    <vt:lpwstr>blue</vt:lpwstr>
  </property>
</Properties>
</file>