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that</w:t>
      </w:r>
      <w:r>
        <w:t xml:space="preserve"> </w:t>
      </w:r>
      <w:r>
        <w:t xml:space="preserve">form</w:t>
      </w:r>
      <w:r>
        <w:t xml:space="preserve"> </w:t>
      </w:r>
      <w:r>
        <w:t xml:space="preserve">a</w:t>
      </w:r>
      <w:r>
        <w:t xml:space="preserve"> </w:t>
      </w:r>
      <w:r>
        <w:t xml:space="preserve">compounding</w:t>
      </w:r>
      <w:r>
        <w:t xml:space="preserve"> </w:t>
      </w:r>
      <w:r>
        <w:t xml:space="preserve">cycle:</w:t>
      </w:r>
      <w:r>
        <w:t xml:space="preserve"> </w:t>
      </w:r>
      <w:r>
        <w:t xml:space="preserve">low</w:t>
      </w:r>
      <w:r>
        <w:t xml:space="preserve"> </w:t>
      </w:r>
      <w:r>
        <w:t xml:space="preserve">analytics</w:t>
      </w:r>
      <w:r>
        <w:t xml:space="preserve"> </w:t>
      </w:r>
      <w:r>
        <w:t xml:space="preserve">maturity</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have</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characterized</w:t>
      </w:r>
      <w:r>
        <w:t xml:space="preserve"> </w:t>
      </w:r>
      <w:r>
        <w:t xml:space="preserve">by</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reported</w:t>
      </w:r>
      <w:r>
        <w:t xml:space="preserve"> </w:t>
      </w:r>
      <w:r>
        <w:t xml:space="preserve">by</w:t>
      </w:r>
      <w:r>
        <w:t xml:space="preserve"> </w:t>
      </w:r>
      <w:r>
        <w:t xml:space="preserve">79%</w:t>
      </w:r>
      <w:r>
        <w:t xml:space="preserve"> </w:t>
      </w:r>
      <w:r>
        <w:t xml:space="preserve">of</w:t>
      </w:r>
      <w:r>
        <w:t xml:space="preserve"> </w:t>
      </w:r>
      <w:r>
        <w:t xml:space="preserve">providers,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for</w:t>
      </w:r>
      <w:r>
        <w:t xml:space="preserve"> </w:t>
      </w:r>
      <w:r>
        <w:t xml:space="preserve">data</w:t>
      </w:r>
      <w:r>
        <w:t xml:space="preserve"> </w:t>
      </w:r>
      <w:r>
        <w:t xml:space="preserve">access.</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sources</w:t>
      </w:r>
      <w:r>
        <w:t xml:space="preserve"> </w:t>
      </w:r>
      <w:r>
        <w:t xml:space="preserve">were</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examining</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(EHRSQL,</w:t>
      </w:r>
      <w:r>
        <w:t xml:space="preserve"> </w:t>
      </w:r>
      <w:r>
        <w:t xml:space="preserve">SM3-Text-to-Query)</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three-pillar</w:t>
      </w:r>
      <w:r>
        <w:t xml:space="preserve"> </w:t>
      </w:r>
      <w:r>
        <w:t xml:space="preserve">framework</w:t>
      </w:r>
      <w:r>
        <w:t xml:space="preserve"> </w:t>
      </w:r>
      <w:r>
        <w:t xml:space="preserve">reveals</w:t>
      </w:r>
      <w:r>
        <w:t xml:space="preserve"> </w:t>
      </w:r>
      <w:r>
        <w:t xml:space="preserve">compounding</w:t>
      </w:r>
      <w:r>
        <w:t xml:space="preserve"> </w:t>
      </w:r>
      <w:r>
        <w:t xml:space="preserve">dynamics:</w:t>
      </w:r>
      <w:r>
        <w:t xml:space="preserve"> </w:t>
      </w:r>
      <w:r>
        <w:t xml:space="preserve">organizations</w:t>
      </w:r>
      <w:r>
        <w:t xml:space="preserve"> </w:t>
      </w:r>
      <w:r>
        <w:t xml:space="preserve">at</w:t>
      </w:r>
      <w:r>
        <w:t xml:space="preserve"> </w:t>
      </w:r>
      <w:r>
        <w:t xml:space="preserve">low</w:t>
      </w:r>
      <w:r>
        <w:t xml:space="preserve"> </w:t>
      </w:r>
      <w:r>
        <w:t xml:space="preserve">maturity</w:t>
      </w:r>
      <w:r>
        <w:t xml:space="preserve"> </w:t>
      </w:r>
      <w:r>
        <w:t xml:space="preserve">stages</w:t>
      </w:r>
      <w:r>
        <w:t xml:space="preserve"> </w:t>
      </w:r>
      <w:r>
        <w:t xml:space="preserve">experience</w:t>
      </w:r>
      <w:r>
        <w:t xml:space="preserve"> </w:t>
      </w:r>
      <w:r>
        <w:t xml:space="preserve">higher</w:t>
      </w:r>
      <w:r>
        <w:t xml:space="preserve"> </w:t>
      </w:r>
      <w:r>
        <w:t xml:space="preserve">turnover,</w:t>
      </w:r>
      <w:r>
        <w:t xml:space="preserve"> </w:t>
      </w:r>
      <w:r>
        <w:t xml:space="preserve">turnover</w:t>
      </w:r>
      <w:r>
        <w:t xml:space="preserve"> </w:t>
      </w:r>
      <w:r>
        <w:t xml:space="preserve">degrades</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and</w:t>
      </w:r>
      <w:r>
        <w:t xml:space="preserve"> </w:t>
      </w:r>
      <w:r>
        <w:t xml:space="preserve">technical</w:t>
      </w:r>
      <w:r>
        <w:t xml:space="preserve"> </w:t>
      </w:r>
      <w:r>
        <w:t xml:space="preserve">barriers</w:t>
      </w:r>
      <w:r>
        <w:t xml:space="preserve"> </w:t>
      </w:r>
      <w:r>
        <w:t xml:space="preserve">prevent</w:t>
      </w:r>
      <w:r>
        <w:t xml:space="preserve"> </w:t>
      </w:r>
      <w:r>
        <w:t xml:space="preserve">capturing</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compounding</w:t>
      </w:r>
      <w:r>
        <w:t xml:space="preserve"> </w:t>
      </w:r>
      <w:r>
        <w:t xml:space="preserve">effects:</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turnover</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technology</w:t>
      </w:r>
      <w:r>
        <w:t xml:space="preserve"> </w:t>
      </w:r>
      <w:r>
        <w:t xml:space="preserve">interventions,</w:t>
      </w:r>
      <w:r>
        <w:t xml:space="preserve"> </w:t>
      </w:r>
      <w:r>
        <w:t xml:space="preserve">including</w:t>
      </w:r>
      <w:r>
        <w:t xml:space="preserve"> </w:t>
      </w:r>
      <w:r>
        <w:t xml:space="preserve">conversational</w:t>
      </w:r>
      <w:r>
        <w:t xml:space="preserve"> </w:t>
      </w:r>
      <w:r>
        <w:t xml:space="preserve">AI</w:t>
      </w:r>
      <w:r>
        <w:t xml:space="preserve"> </w:t>
      </w:r>
      <w:r>
        <w:t xml:space="preserve">platforms</w:t>
      </w:r>
      <w:r>
        <w:t xml:space="preserve"> </w:t>
      </w:r>
      <w:r>
        <w:t xml:space="preserve">as</w:t>
      </w:r>
      <w:r>
        <w:t xml:space="preserve"> </w:t>
      </w:r>
      <w:r>
        <w:t xml:space="preserve">one</w:t>
      </w:r>
      <w:r>
        <w:t xml:space="preserve"> </w:t>
      </w:r>
      <w:r>
        <w:t xml:space="preserve">potential</w:t>
      </w:r>
      <w:r>
        <w:t xml:space="preserve"> </w:t>
      </w:r>
      <w:r>
        <w:t xml:space="preserve">application.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2" w:name="introduction"/>
    <w:p>
      <w:pPr>
        <w:pStyle w:val="Heading1"/>
      </w:pPr>
      <w:r>
        <w:rPr>
          <w:rStyle w:val="SectionNumber"/>
        </w:rPr>
        <w:t xml:space="preserve">1</w:t>
      </w:r>
      <w:r>
        <w:tab/>
      </w:r>
      <w:r>
        <w:t xml:space="preserve">Introduction</w:t>
      </w:r>
    </w:p>
    <w:bookmarkStart w:id="20" w:name="background"/>
    <w:p>
      <w:pPr>
        <w:pStyle w:val="Heading2"/>
      </w:pPr>
      <w:r>
        <w:rPr>
          <w:rStyle w:val="SectionNumber"/>
        </w:rPr>
        <w:t xml:space="preserve">1.1</w:t>
      </w:r>
      <w:r>
        <w:tab/>
      </w:r>
      <w:r>
        <w:t xml:space="preserve">Background</w:t>
      </w:r>
    </w:p>
    <w:p>
      <w:pPr>
        <w:pStyle w:val="FirstParagraph"/>
      </w:pPr>
      <w:r>
        <w:t xml:space="preserve">Healthcare analytics has emerged as a critical capability for improving patient outcomes, reducing costs, and enhancing operational efficiency. While healthcare organizations must balance cost management, regulatory compliance, and operational efficiency, these concerns serve a primary institutional imperative: delivering high-quality patient care. Analytics initiatives that fail to advance this core mission, or worse, that divert resources and attention without improving care delivery, represent a misalignment with healthcare’s fundamental purpose.</w:t>
      </w:r>
    </w:p>
    <w:p>
      <w:pPr>
        <w:pStyle w:val="BodyText"/>
      </w:pPr>
      <w:r>
        <w:t xml:space="preserve">However, the sector faces unique challenges that distinguish it from other data-intensive industries.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Healthcare Information Management Systems Society (HIMSS) Analytics Maturity Assessment Model (AMAM) provides the industry standard for measuring healthcare analytics capabilities across seven stages, from basic data collection to advanced predictive modeling and AI integration.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However, early 2025 has seen an acceleration in high-level validations driven by the new AMAM24 framework’s emphasis on AI governance. Tampa General Hospital became the first Florida health system to achieve Stage 7 in June 2025, cited specifically for</w:t>
      </w:r>
      <w:r>
        <w:t xml:space="preserve"> </w:t>
      </w:r>
      <w:r>
        <w:t xml:space="preserve">“</w:t>
      </w:r>
      <w:r>
        <w:t xml:space="preserve">responsible AI use</w:t>
      </w:r>
      <w:r>
        <w:t xml:space="preserve">”</w:t>
      </w:r>
      <w:r>
        <w:t xml:space="preserve"> </w:t>
      </w:r>
      <w:r>
        <w:t xml:space="preserve">(</w:t>
      </w:r>
      <w:hyperlink w:anchor="ref-tgh2025">
        <w:r>
          <w:rPr>
            <w:rStyle w:val="Hyperlink"/>
          </w:rPr>
          <w:t xml:space="preserve">4</w:t>
        </w:r>
      </w:hyperlink>
      <w:r>
        <w:t xml:space="preserve">)</w:t>
      </w:r>
      <w:r>
        <w:t xml:space="preserve">, while China Medical University Hospital in Taiwan advanced to Stage 7 in March 2025 using proprietary AI systems for anti-microbial stewardship</w:t>
      </w:r>
      <w:r>
        <w:t xml:space="preserve"> </w:t>
      </w:r>
      <w:r>
        <w:t xml:space="preserve">(</w:t>
      </w:r>
      <w:hyperlink w:anchor="ref-cmuh2025">
        <w:r>
          <w:rPr>
            <w:rStyle w:val="Hyperlink"/>
          </w:rPr>
          <w:t xml:space="preserve">5</w:t>
        </w:r>
      </w:hyperlink>
      <w:r>
        <w:t xml:space="preserve">)</w:t>
      </w:r>
      <w:r>
        <w:t xml:space="preserve">. Despite this progress, the</w:t>
      </w:r>
      <w:r>
        <w:t xml:space="preserve"> </w:t>
      </w:r>
      <w:r>
        <w:t xml:space="preserve">“</w:t>
      </w:r>
      <w:r>
        <w:t xml:space="preserve">Elite Cohort</w:t>
      </w:r>
      <w:r>
        <w:t xml:space="preserve">”</w:t>
      </w:r>
      <w:r>
        <w:t xml:space="preserve"> </w:t>
      </w:r>
      <w:r>
        <w:t xml:space="preserve">remains small.</w:t>
      </w:r>
    </w:p>
    <w:p>
      <w:pPr>
        <w:pStyle w:val="BodyText"/>
      </w:pPr>
      <w:r>
        <w:t xml:space="preserve">This analytics maturity crisis occurs amid accelerating technological advances in natural language processing and conversational AI. Large language models have demonstrated remarkable capabilities in understanding clinical terminology, generating SQL queries, and bridging the gap between natural language questions and structured data analysis. These developments create unprecedented opportunities to democratize healthcare analytics access.</w:t>
      </w:r>
    </w:p>
    <w:p>
      <w:pPr>
        <w:pStyle w:val="BodyText"/>
      </w:pPr>
      <w:r>
        <w:t xml:space="preserve">Simultaneously, healthcare faces an institutional memory crisis that has evolved from simple turnover to</w:t>
      </w:r>
      <w:r>
        <w:t xml:space="preserve"> </w:t>
      </w:r>
      <w:r>
        <w:t xml:space="preserve">“</w:t>
      </w:r>
      <w:r>
        <w:t xml:space="preserve">Systemic Instability.</w:t>
      </w:r>
      <w:r>
        <w:t xml:space="preserve">”</w:t>
      </w:r>
      <w:r>
        <w:t xml:space="preserve"> </w:t>
      </w:r>
      <w:r>
        <w:t xml:space="preserve">Recent evidence reveals a multi-layered workforce crisis affecting leadership, specialized roles, and new hires. At the strategic level, leadership churn is acute, with 53% of healthcare CIOs having a tenure of less than three years</w:t>
      </w:r>
      <w:r>
        <w:t xml:space="preserve"> </w:t>
      </w:r>
      <w:r>
        <w:t xml:space="preserve">(</w:t>
      </w:r>
      <w:hyperlink w:anchor="ref-wittkieffer2024">
        <w:r>
          <w:rPr>
            <w:rStyle w:val="Hyperlink"/>
          </w:rPr>
          <w:t xml:space="preserve">6</w:t>
        </w:r>
      </w:hyperlink>
      <w:r>
        <w:t xml:space="preserve">)</w:t>
      </w:r>
      <w:r>
        <w:t xml:space="preserve">, creating frequent shifts in analytics strategy. At the operational level, 79% of providers report persistent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7</w:t>
        </w:r>
      </w:hyperlink>
      <w:r>
        <w:t xml:space="preserve">)</w:t>
      </w:r>
      <w:r>
        <w:t xml:space="preserve">, leaving critical technical positions vacant. At the foundational level, approximately 30% of all new hospital hires leave within their first year</w:t>
      </w:r>
      <w:r>
        <w:t xml:space="preserve"> </w:t>
      </w:r>
      <w:r>
        <w:t xml:space="preserve">(</w:t>
      </w:r>
      <w:hyperlink w:anchor="ref-nsi2025">
        <w:r>
          <w:rPr>
            <w:rStyle w:val="Hyperlink"/>
          </w:rPr>
          <w:t xml:space="preserve">8</w:t>
        </w:r>
      </w:hyperlink>
      <w:r>
        <w:t xml:space="preserve">)</w:t>
      </w:r>
      <w:r>
        <w:t xml:space="preserve">, preventing the accumulation of tacit knowledge. This churn at every level creates cascading knowledge loss where expertise cannot stabilize, particularly in analytics roles where domain knowledge must combine with technical skills.</w:t>
      </w:r>
    </w:p>
    <w:bookmarkEnd w:id="20"/>
    <w:bookmarkStart w:id="24" w:name="problem-statement"/>
    <w:p>
      <w:pPr>
        <w:pStyle w:val="Heading2"/>
      </w:pPr>
      <w:r>
        <w:rPr>
          <w:rStyle w:val="SectionNumber"/>
        </w:rPr>
        <w:t xml:space="preserve">1.2</w:t>
      </w:r>
      <w:r>
        <w:tab/>
      </w:r>
      <w:r>
        <w:t xml:space="preserve">Problem Statement</w:t>
      </w:r>
    </w:p>
    <w:p>
      <w:pPr>
        <w:pStyle w:val="FirstParagraph"/>
      </w:pPr>
      <w:r>
        <w:t xml:space="preserve">Healthcare organizations face three critical, interconnected challenges that collectively threaten their ability to become data-driven enterprises:</w:t>
      </w:r>
    </w:p>
    <w:bookmarkStart w:id="21" w:name="low-healthcare-analytics-maturity"/>
    <w:p>
      <w:pPr>
        <w:pStyle w:val="Heading3"/>
      </w:pPr>
      <w:r>
        <w:rPr>
          <w:rStyle w:val="SectionNumber"/>
        </w:rPr>
        <w:t xml:space="preserve">1.2.1</w:t>
      </w:r>
      <w:r>
        <w:tab/>
      </w:r>
      <w:r>
        <w:t xml:space="preserve">Low Healthcare Analytics Maturity</w:t>
      </w:r>
    </w:p>
    <w:p>
      <w:pPr>
        <w:pStyle w:val="FirstParagraph"/>
      </w:pPr>
      <w:r>
        <w:t xml:space="preserve">Despite massive investments in electronic health records and data infrastructure, healthcare organizations struggle to advance beyond basic reporting capabilities. The HIMSS AMAM reveals that most organizations remain at Stages 0-3, characterized by fragmented data sources,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 and operational optimization.</w:t>
      </w:r>
    </w:p>
    <w:bookmarkEnd w:id="21"/>
    <w:bookmarkStart w:id="22" w:name="technical-barriers-to-data-access"/>
    <w:p>
      <w:pPr>
        <w:pStyle w:val="Heading3"/>
      </w:pPr>
      <w:r>
        <w:rPr>
          <w:rStyle w:val="SectionNumber"/>
        </w:rPr>
        <w:t xml:space="preserve">1.2.2</w:t>
      </w:r>
      <w:r>
        <w:tab/>
      </w:r>
      <w:r>
        <w:t xml:space="preserve">Technical Barriers to Data Access</w:t>
      </w:r>
    </w:p>
    <w:p>
      <w:pPr>
        <w:pStyle w:val="FirstParagraph"/>
      </w:pPr>
      <w:r>
        <w:t xml:space="preserve">Accessing healthcare insights requires navigating a complex technical landscape that extends well beyond simple query formulation. While the immediate barrier is often the</w:t>
      </w:r>
      <w:r>
        <w:t xml:space="preserve"> </w:t>
      </w:r>
      <w:r>
        <w:t xml:space="preserve">“</w:t>
      </w:r>
      <w:r>
        <w:t xml:space="preserve">technical skills gap</w:t>
      </w:r>
      <w:r>
        <w:t xml:space="preserve">”</w:t>
      </w:r>
      <w:r>
        <w:t xml:space="preserve">—where clinical experts lack the SQL expertise to query databases directly—this is merely the surface of a deeper problem. Upstream of query formulation lie profound challenges in</w:t>
      </w:r>
      <w:r>
        <w:t xml:space="preserve"> </w:t>
      </w:r>
      <w:r>
        <w:rPr>
          <w:b/>
          <w:bCs/>
        </w:rPr>
        <w:t xml:space="preserve">Semantic Interoperability</w:t>
      </w:r>
      <w:r>
        <w:t xml:space="preserve">, where data definitions vary across sites, and</w:t>
      </w:r>
      <w:r>
        <w:t xml:space="preserve"> </w:t>
      </w:r>
      <w:r>
        <w:rPr>
          <w:b/>
          <w:bCs/>
        </w:rPr>
        <w:t xml:space="preserve">Data Quality</w:t>
      </w:r>
      <w:r>
        <w:t xml:space="preserve">, where missing or</w:t>
      </w:r>
      <w:r>
        <w:t xml:space="preserve"> </w:t>
      </w:r>
      <w:r>
        <w:t xml:space="preserve">“</w:t>
      </w:r>
      <w:r>
        <w:t xml:space="preserve">dirty</w:t>
      </w:r>
      <w:r>
        <w:t xml:space="preserve">”</w:t>
      </w:r>
      <w:r>
        <w:t xml:space="preserve"> </w:t>
      </w:r>
      <w:r>
        <w:t xml:space="preserve">data undermines trust</w:t>
      </w:r>
      <w:r>
        <w:t xml:space="preserve"> </w:t>
      </w:r>
      <w:r>
        <w:t xml:space="preserve">(</w:t>
      </w:r>
      <w:hyperlink w:anchor="ref-gal2019">
        <w:r>
          <w:rPr>
            <w:rStyle w:val="Hyperlink"/>
          </w:rPr>
          <w:t xml:space="preserve">9</w:t>
        </w:r>
      </w:hyperlink>
      <w:r>
        <w:t xml:space="preserve">,</w:t>
      </w:r>
      <w:hyperlink w:anchor="ref-zhang2024">
        <w:r>
          <w:rPr>
            <w:rStyle w:val="Hyperlink"/>
          </w:rPr>
          <w:t xml:space="preserve">10</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that solves data chaos. Rather, it serves as a democratizing</w:t>
      </w:r>
      <w:r>
        <w:t xml:space="preserve"> </w:t>
      </w:r>
      <w:r>
        <w:rPr>
          <w:b/>
          <w:bCs/>
        </w:rPr>
        <w:t xml:space="preserve">Interface Layer</w:t>
      </w:r>
      <w:r>
        <w:t xml:space="preserve"> </w:t>
      </w:r>
      <w:r>
        <w:t xml:space="preserve">and a</w:t>
      </w:r>
      <w:r>
        <w:t xml:space="preserve"> </w:t>
      </w:r>
      <w:r>
        <w:rPr>
          <w:b/>
          <w:bCs/>
        </w:rPr>
        <w:t xml:space="preserve">Governance Forcing Function</w:t>
      </w:r>
      <w:r>
        <w:t xml:space="preserve"> </w:t>
      </w:r>
      <w:r>
        <w:t xml:space="preserve">(a design feature that compels organizations to formalize and enforce data governance rules as a precondition for system use). For the system to function, technical prerequisites must be met: validated Primary and Foreign Keys and explicit business interpretations (e.g., defining</w:t>
      </w:r>
      <w:r>
        <w:t xml:space="preserve"> </w:t>
      </w:r>
      <w:r>
        <w:t xml:space="preserve">“</w:t>
      </w:r>
      <w:r>
        <w:t xml:space="preserve">Length of Stay</w:t>
      </w:r>
      <w:r>
        <w:t xml:space="preserve">”</w:t>
      </w:r>
      <w:r>
        <w:t xml:space="preserve">). The AI interface forces the organization to codify these rules, moving them from tacit to explicit knowledge. It does not replace the hard work of data governance and standardization; instead, it provides a bridge that allows non-technical domain experts to interact with data</w:t>
      </w:r>
      <w:r>
        <w:t xml:space="preserve"> </w:t>
      </w:r>
      <w:r>
        <w:rPr>
          <w:i/>
          <w:iCs/>
        </w:rPr>
        <w:t xml:space="preserve">alongside</w:t>
      </w:r>
      <w:r>
        <w:t xml:space="preserve"> </w:t>
      </w:r>
      <w:r>
        <w:t xml:space="preserve">these modernization efforts. By transforming legacy technical requirements into natural language interactions, AI-assisted interfaces can unlock value from imperfect data systems while broader interoperability efforts continue</w:t>
      </w:r>
      <w:r>
        <w:t xml:space="preserve"> </w:t>
      </w:r>
      <w:r>
        <w:t xml:space="preserve">(</w:t>
      </w:r>
      <w:hyperlink w:anchor="ref-anthropic2025">
        <w:r>
          <w:rPr>
            <w:rStyle w:val="Hyperlink"/>
          </w:rPr>
          <w:t xml:space="preserve">11</w:t>
        </w:r>
      </w:hyperlink>
      <w:r>
        <w:t xml:space="preserve">)</w:t>
      </w:r>
      <w:r>
        <w:t xml:space="preserve">. Foundational research on natural language interfaces to databases established that modular architecture principles enable effective bridging of legacy data access challenges</w:t>
      </w:r>
      <w:r>
        <w:t xml:space="preserve"> </w:t>
      </w:r>
      <w:r>
        <w:t xml:space="preserve">(</w:t>
      </w:r>
      <w:hyperlink w:anchor="ref-hendrix1978">
        <w:r>
          <w:rPr>
            <w:rStyle w:val="Hyperlink"/>
          </w:rPr>
          <w:t xml:space="preserve">12</w:t>
        </w:r>
      </w:hyperlink>
      <w:r>
        <w:t xml:space="preserve">)</w:t>
      </w:r>
      <w:r>
        <w:t xml:space="preserve">, with modern implementations demonstrating that the same large language models underlying code modernization can serve as natural language interfaces to legacy systems</w:t>
      </w:r>
      <w:r>
        <w:t xml:space="preserve"> </w:t>
      </w:r>
      <w:r>
        <w:t xml:space="preserve">(</w:t>
      </w:r>
      <w:hyperlink w:anchor="ref-ogunwole2023">
        <w:r>
          <w:rPr>
            <w:rStyle w:val="Hyperlink"/>
          </w:rPr>
          <w:t xml:space="preserve">13</w:t>
        </w:r>
      </w:hyperlink>
      <w:r>
        <w:t xml:space="preserve">)</w:t>
      </w:r>
      <w:r>
        <w:t xml:space="preserve">,</w:t>
      </w:r>
      <w:r>
        <w:t xml:space="preserve"> </w:t>
      </w:r>
      <w:r>
        <w:t xml:space="preserve">(</w:t>
      </w:r>
      <w:hyperlink w:anchor="ref-arora2025">
        <w:r>
          <w:rPr>
            <w:rStyle w:val="Hyperlink"/>
          </w:rPr>
          <w:t xml:space="preserve">14</w:t>
        </w:r>
      </w:hyperlink>
      <w:r>
        <w:t xml:space="preserve">)</w:t>
      </w:r>
      <w:r>
        <w:t xml:space="preserve">.</w:t>
      </w:r>
    </w:p>
    <w:bookmarkEnd w:id="22"/>
    <w:bookmarkStart w:id="23" w:name="Xbcc4dadd7fefc7631b0e8a8a9c4816ce0327f63"/>
    <w:p>
      <w:pPr>
        <w:pStyle w:val="Heading3"/>
      </w:pPr>
      <w:r>
        <w:rPr>
          <w:rStyle w:val="SectionNumber"/>
        </w:rPr>
        <w:t xml:space="preserve">1.2.3</w:t>
      </w:r>
      <w:r>
        <w:tab/>
      </w:r>
      <w:r>
        <w:t xml:space="preserve">Institutional Memory Loss from Workforce Turnover</w:t>
      </w:r>
    </w:p>
    <w:p>
      <w:pPr>
        <w:pStyle w:val="FirstParagraph"/>
      </w:pPr>
      <w:r>
        <w:t xml:space="preserve">The challenge of retaining healthcare IT talent has evolved from a structural weakness into a persistent crisis. A foundational 2004 study established a historical baseline, finding that healthcare IT staff had the lowest expected tenure for new hires among all IT sectors at just 2.9 years</w:t>
      </w:r>
      <w:r>
        <w:t xml:space="preserve"> </w:t>
      </w:r>
      <w:r>
        <w:t xml:space="preserve">(</w:t>
      </w:r>
      <w:hyperlink w:anchor="ref-ang2004">
        <w:r>
          <w:rPr>
            <w:rStyle w:val="Hyperlink"/>
          </w:rPr>
          <w:t xml:space="preserve">15</w:t>
        </w:r>
      </w:hyperlink>
      <w:r>
        <w:t xml:space="preserve">)</w:t>
      </w:r>
      <w:r>
        <w:t xml:space="preserve">. While this structural pattern of high turnover has persisted for two decades, the absence of modern longitudinal tenure data is itself evidence of the crisis: the industry is so unstable it has lost the ability to track its own attrition.</w:t>
      </w:r>
    </w:p>
    <w:p>
      <w:pPr>
        <w:pStyle w:val="BodyText"/>
      </w:pPr>
      <w:r>
        <w:t xml:space="preserve">Recent data paints a stark picture of a workforce under strain. A 2025 analysis of public health informatics specialists reveals that 55% intend to leave their positions, signaling a potential exodus of specialized talent</w:t>
      </w:r>
      <w:r>
        <w:t xml:space="preserve"> </w:t>
      </w:r>
      <w:r>
        <w:t xml:space="preserve">(</w:t>
      </w:r>
      <w:hyperlink w:anchor="ref-rajamani2025">
        <w:r>
          <w:rPr>
            <w:rStyle w:val="Hyperlink"/>
          </w:rPr>
          <w:t xml:space="preserve">16</w:t>
        </w:r>
      </w:hyperlink>
      <w:r>
        <w:t xml:space="preserve">)</w:t>
      </w:r>
      <w:r>
        <w:t xml:space="preserve">. This aligns with broader industry signals: the 2023 AHIMA/NORC workforce survey reports that 83% of health information professionals face stagnant or increasing unfilled roles, confirming that vacancy rates are compounding the loss of experienced staff</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When experienced analysts leave, they take with them irreplaceable tacit knowledge: business rules, data anomalies, and analytical context that traditional documentation fails to capture.</w:t>
      </w:r>
    </w:p>
    <w:p>
      <w:pPr>
        <w:pStyle w:val="BodyText"/>
      </w:pPr>
      <w:r>
        <w:t xml:space="preserve">The implications are measurable in operational terms and patient care quality. Organizations continue investing in analytics infrastructure while struggling to realize value from their data assets. Empirical research demonstrates that a 10-percentage-point increase in nursing staff turnover is associated with 0.241 additional health inspection citations and decreased assessment-based quality measures</w:t>
      </w:r>
      <w:r>
        <w:t xml:space="preserve"> </w:t>
      </w:r>
      <w:r>
        <w:t xml:space="preserve">(</w:t>
      </w:r>
      <w:hyperlink w:anchor="ref-shen2023">
        <w:r>
          <w:rPr>
            <w:rStyle w:val="Hyperlink"/>
          </w:rPr>
          <w:t xml:space="preserve">17</w:t>
        </w:r>
      </w:hyperlink>
      <w:r>
        <w:t xml:space="preserve">)</w:t>
      </w:r>
      <w:r>
        <w:t xml:space="preserve">.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18</w:t>
        </w:r>
      </w:hyperlink>
      <w:r>
        <w:t xml:space="preserve">)</w:t>
      </w:r>
      <w:r>
        <w:t xml:space="preserve">. Technical barriers remain pervasive, with 68% of healthcare organizations citing data interoperability as the leading obstacle to analytics adoption, followed by privacy concerns (64%) and insufficient staff training (59%)</w:t>
      </w:r>
      <w:r>
        <w:t xml:space="preserve"> </w:t>
      </w:r>
      <w:r>
        <w:t xml:space="preserve">(</w:t>
      </w:r>
      <w:hyperlink w:anchor="ref-khan2023">
        <w:r>
          <w:rPr>
            <w:rStyle w:val="Hyperlink"/>
          </w:rPr>
          <w:t xml:space="preserve">19</w:t>
        </w:r>
      </w:hyperlink>
      <w:r>
        <w:t xml:space="preserve">)</w:t>
      </w:r>
      <w:r>
        <w:t xml:space="preserve">. Physician technology adoption faces empirically validated barriers including perceived threat and inequity from workflow changes, directly impacting behavioral intentions toward analytics tools</w:t>
      </w:r>
      <w:r>
        <w:t xml:space="preserve"> </w:t>
      </w:r>
      <w:r>
        <w:t xml:space="preserve">(</w:t>
      </w:r>
      <w:hyperlink w:anchor="ref-lin2012">
        <w:r>
          <w:rPr>
            <w:rStyle w:val="Hyperlink"/>
          </w:rPr>
          <w:t xml:space="preserve">20</w:t>
        </w:r>
      </w:hyperlink>
      <w:r>
        <w:t xml:space="preserve">)</w:t>
      </w:r>
      <w:r>
        <w:t xml:space="preserve">. These three interconnected challenges represent operational inefficiencies with demonstrated implications for healthcare delivery.</w:t>
      </w:r>
    </w:p>
    <w:bookmarkEnd w:id="23"/>
    <w:bookmarkEnd w:id="24"/>
    <w:bookmarkStart w:id="28" w:name="objectives"/>
    <w:p>
      <w:pPr>
        <w:pStyle w:val="Heading2"/>
      </w:pPr>
      <w:r>
        <w:rPr>
          <w:rStyle w:val="SectionNumber"/>
        </w:rPr>
        <w:t xml:space="preserve">1.3</w:t>
      </w:r>
      <w:r>
        <w:tab/>
      </w:r>
      <w:r>
        <w:t xml:space="preserve">Objectives</w:t>
      </w:r>
    </w:p>
    <w:p>
      <w:pPr>
        <w:pStyle w:val="FirstParagraph"/>
      </w:pPr>
      <w:r>
        <w:t xml:space="preserve">This research aims to develop and validate an analytical framework for understanding healthcare’s interconnected analytics challenges. Specific objectives include:</w:t>
      </w:r>
    </w:p>
    <w:bookmarkStart w:id="25" w:name="primary-objective"/>
    <w:p>
      <w:pPr>
        <w:pStyle w:val="Heading3"/>
      </w:pPr>
      <w:r>
        <w:rPr>
          <w:rStyle w:val="SectionNumber"/>
        </w:rPr>
        <w:t xml:space="preserve">1.3.1</w:t>
      </w:r>
      <w:r>
        <w:tab/>
      </w:r>
      <w:r>
        <w:t xml:space="preserve">Primary Objective</w:t>
      </w:r>
    </w:p>
    <w:p>
      <w:pPr>
        <w:pStyle w:val="FirstParagraph"/>
      </w:pPr>
      <w:r>
        <w:t xml:space="preserve">Develop and validate a three-pillar analytical framework for understanding how analytics maturity, workforce agility, and technical enablement interconnect and compound each other.</w:t>
      </w:r>
    </w:p>
    <w:bookmarkEnd w:id="25"/>
    <w:bookmarkStart w:id="26" w:name="secondary-objectives"/>
    <w:p>
      <w:pPr>
        <w:pStyle w:val="Heading3"/>
      </w:pPr>
      <w:r>
        <w:rPr>
          <w:rStyle w:val="SectionNumber"/>
        </w:rPr>
        <w:t xml:space="preserve">1.3.2</w:t>
      </w:r>
      <w:r>
        <w:tab/>
      </w:r>
      <w:r>
        <w:t xml:space="preserve">Secondary Objectives</w:t>
      </w:r>
    </w:p>
    <w:p>
      <w:pPr>
        <w:pStyle w:val="Compact"/>
        <w:numPr>
          <w:ilvl w:val="0"/>
          <w:numId w:val="1001"/>
        </w:numPr>
      </w:pPr>
      <w:r>
        <w:rPr>
          <w:b/>
          <w:bCs/>
        </w:rPr>
        <w:t xml:space="preserve">Synthesize current evidence</w:t>
      </w:r>
      <w:r>
        <w:t xml:space="preserve"> </w:t>
      </w:r>
      <w:r>
        <w:t xml:space="preserve">on natural language to SQL generation as one dimension of technical barriers</w:t>
      </w:r>
    </w:p>
    <w:p>
      <w:pPr>
        <w:pStyle w:val="Compact"/>
        <w:numPr>
          <w:ilvl w:val="0"/>
          <w:numId w:val="1001"/>
        </w:numPr>
      </w:pPr>
      <w:r>
        <w:rPr>
          <w:b/>
          <w:bCs/>
        </w:rPr>
        <w:t xml:space="preserve">Document the extent</w:t>
      </w:r>
      <w:r>
        <w:t xml:space="preserve"> </w:t>
      </w:r>
      <w:r>
        <w:t xml:space="preserve">of analytics maturity challenges across healthcare organizations globally</w:t>
      </w:r>
    </w:p>
    <w:p>
      <w:pPr>
        <w:pStyle w:val="Compact"/>
        <w:numPr>
          <w:ilvl w:val="0"/>
          <w:numId w:val="1001"/>
        </w:numPr>
      </w:pPr>
      <w:r>
        <w:rPr>
          <w:b/>
          <w:bCs/>
        </w:rPr>
        <w:t xml:space="preserve">Quantify the impact</w:t>
      </w:r>
      <w:r>
        <w:t xml:space="preserve"> </w:t>
      </w:r>
      <w:r>
        <w:t xml:space="preserve">of workforce turnover on institutional memory and analytics capabilities</w:t>
      </w:r>
    </w:p>
    <w:p>
      <w:pPr>
        <w:pStyle w:val="Compact"/>
        <w:numPr>
          <w:ilvl w:val="0"/>
          <w:numId w:val="1001"/>
        </w:numPr>
      </w:pPr>
      <w:r>
        <w:rPr>
          <w:b/>
          <w:bCs/>
        </w:rPr>
        <w:t xml:space="preserve">Reveal interconnections</w:t>
      </w:r>
      <w:r>
        <w:t xml:space="preserve"> </w:t>
      </w:r>
      <w:r>
        <w:t xml:space="preserve">between the three pillars through evidence synthesis</w:t>
      </w:r>
    </w:p>
    <w:p>
      <w:pPr>
        <w:pStyle w:val="Compact"/>
        <w:numPr>
          <w:ilvl w:val="0"/>
          <w:numId w:val="1001"/>
        </w:numPr>
      </w:pPr>
      <w:r>
        <w:rPr>
          <w:b/>
          <w:bCs/>
        </w:rPr>
        <w:t xml:space="preserve">Provide assessment rubric</w:t>
      </w:r>
      <w:r>
        <w:t xml:space="preserve"> </w:t>
      </w:r>
      <w:r>
        <w:t xml:space="preserve">for organizational self-evaluation using the framework</w:t>
      </w:r>
    </w:p>
    <w:bookmarkEnd w:id="26"/>
    <w:bookmarkStart w:id="27" w:name="non-goals"/>
    <w:p>
      <w:pPr>
        <w:pStyle w:val="Heading3"/>
      </w:pPr>
      <w:r>
        <w:rPr>
          <w:rStyle w:val="SectionNumber"/>
        </w:rPr>
        <w:t xml:space="preserve">1.3.3</w:t>
      </w:r>
      <w:r>
        <w:tab/>
      </w:r>
      <w:r>
        <w:t xml:space="preserve">Non-Goals</w:t>
      </w:r>
    </w:p>
    <w:p>
      <w:pPr>
        <w:pStyle w:val="FirstParagraph"/>
      </w:pPr>
      <w:r>
        <w:t xml:space="preserve">This research explicitly does not address:</w:t>
      </w:r>
    </w:p>
    <w:p>
      <w:pPr>
        <w:pStyle w:val="Compact"/>
        <w:numPr>
          <w:ilvl w:val="0"/>
          <w:numId w:val="1002"/>
        </w:numPr>
      </w:pPr>
      <w:r>
        <w:t xml:space="preserve">Specific vendor comparisons or product recommendations</w:t>
      </w:r>
    </w:p>
    <w:p>
      <w:pPr>
        <w:pStyle w:val="Compact"/>
        <w:numPr>
          <w:ilvl w:val="0"/>
          <w:numId w:val="1002"/>
        </w:numPr>
      </w:pPr>
      <w:r>
        <w:t xml:space="preserve">Implementation details for particular healthcare IT environments</w:t>
      </w:r>
    </w:p>
    <w:p>
      <w:pPr>
        <w:pStyle w:val="Compact"/>
        <w:numPr>
          <w:ilvl w:val="0"/>
          <w:numId w:val="1002"/>
        </w:numPr>
      </w:pPr>
      <w:r>
        <w:t xml:space="preserve">Regulatory compliance strategies for specific jurisdictions</w:t>
      </w:r>
    </w:p>
    <w:p>
      <w:pPr>
        <w:pStyle w:val="Compact"/>
        <w:numPr>
          <w:ilvl w:val="0"/>
          <w:numId w:val="1002"/>
        </w:numPr>
      </w:pPr>
      <w:r>
        <w:t xml:space="preserve">Technical architecture specifications for conversational AI systems</w:t>
      </w:r>
    </w:p>
    <w:p>
      <w:pPr>
        <w:pStyle w:val="FirstParagraph"/>
      </w:pPr>
      <w:r>
        <w:t xml:space="preserve">Note: Analysis of market dynamics and structural factors explaining why institution-specific analytics challenges persist is within scope. This market-level analysis provides necessary context for evaluating solution approaches and differs from product comparison, which would evaluate specific vendor offerings against each other or recommend particular products.</w:t>
      </w:r>
    </w:p>
    <w:bookmarkEnd w:id="27"/>
    <w:bookmarkEnd w:id="28"/>
    <w:bookmarkStart w:id="30" w:name="contributions"/>
    <w:p>
      <w:pPr>
        <w:pStyle w:val="Heading2"/>
      </w:pPr>
      <w:r>
        <w:rPr>
          <w:rStyle w:val="SectionNumber"/>
        </w:rPr>
        <w:t xml:space="preserve">1.4</w:t>
      </w:r>
      <w:r>
        <w:tab/>
      </w:r>
      <w:r>
        <w:t xml:space="preserve">Contributions</w:t>
      </w:r>
    </w:p>
    <w:p>
      <w:pPr>
        <w:pStyle w:val="FirstParagraph"/>
      </w:pPr>
      <w:r>
        <w:t xml:space="preserve">This paper makes the following contributions to the healthcare informatics literature:</w:t>
      </w:r>
    </w:p>
    <w:p>
      <w:pPr>
        <w:numPr>
          <w:ilvl w:val="0"/>
          <w:numId w:val="1003"/>
        </w:numPr>
      </w:pPr>
      <w:r>
        <w:rPr>
          <w:b/>
          <w:bCs/>
        </w:rPr>
        <w:t xml:space="preserve">Three-Pillar Analytical Framework</w:t>
      </w:r>
      <w:r>
        <w:t xml:space="preserve"> </w:t>
      </w:r>
      <w:r>
        <w:t xml:space="preserve">(Primary Contribution): We synthesize evidence from three previously disconnected research domains (healthcare analytics maturity, workforce turnover, and natural language processing) into a unified analytical framework that reveals how these capabilities interconnect and compound each other: low maturity accelerates turnover, turnover degrades agility, and low technical enablement prevents recovery from either. This framework provides an analytical lens for organizational self-assessment and research prioritization.</w:t>
      </w:r>
    </w:p>
    <w:p>
      <w:pPr>
        <w:numPr>
          <w:ilvl w:val="0"/>
          <w:numId w:val="1003"/>
        </w:numPr>
      </w:pPr>
      <w:r>
        <w:rPr>
          <w:b/>
          <w:bCs/>
        </w:rPr>
        <w:t xml:space="preserve">Evidence Synthesis Across Domains</w:t>
      </w:r>
      <w:r>
        <w:t xml:space="preserve">: We document the current state of each pillar through comprehensive literature review, providing healthcare organizations with consolidated evidence on analytics maturity benchmarks, workforce turnover impacts, and NL2SQL technical capabilities.</w:t>
      </w:r>
    </w:p>
    <w:p>
      <w:pPr>
        <w:numPr>
          <w:ilvl w:val="0"/>
          <w:numId w:val="1003"/>
        </w:numPr>
      </w:pPr>
      <w:r>
        <w:rPr>
          <w:b/>
          <w:bCs/>
        </w:rPr>
        <w:t xml:space="preserve">Illustrative Application</w:t>
      </w:r>
      <w:r>
        <w:t xml:space="preserve">: Drawing on established knowledge management literature</w:t>
      </w:r>
      <w:r>
        <w:t xml:space="preserve"> </w:t>
      </w:r>
      <w:r>
        <w:t xml:space="preserve">(</w:t>
      </w:r>
      <w:hyperlink w:anchor="ref-benbya2004">
        <w:r>
          <w:rPr>
            <w:rStyle w:val="Hyperlink"/>
          </w:rPr>
          <w:t xml:space="preserve">21</w:t>
        </w:r>
      </w:hyperlink>
      <w:r>
        <w:t xml:space="preserve">,</w:t>
      </w:r>
      <w:hyperlink w:anchor="ref-richesson2007">
        <w:r>
          <w:rPr>
            <w:rStyle w:val="Hyperlink"/>
          </w:rPr>
          <w:t xml:space="preserve">22</w:t>
        </w:r>
      </w:hyperlink>
      <w:r>
        <w:t xml:space="preserve">)</w:t>
      </w:r>
      <w:r>
        <w:t xml:space="preserve">, we describe the validated query cycle as one example of how the framework might inform technology design. This architecture concept addresses institutional memory loss through six steps: (1) domain experts ask natural language questions, (2) the system generates candidate SQL, (3) experts validate and correct the SQL, (4) validated NL+SQL pairs are stored in organizational memory, (5) future queries retrieve validated pairs, and (6) knowledge persists independent of staff tenure. Figure 1 illustrates this architecture, and Figure 2 details the validated query cycle.</w:t>
      </w:r>
    </w:p>
    <w:bookmarkStart w:id="29" w:name="Xb008ed5cb3c3dec64a7edfe8c13274574b21783"/>
    <w:p>
      <w:pPr>
        <w:pStyle w:val="Heading3"/>
      </w:pPr>
      <w:r>
        <w:rPr>
          <w:rStyle w:val="SectionNumber"/>
        </w:rPr>
        <w:t xml:space="preserve">1.4.1</w:t>
      </w:r>
      <w:r>
        <w:tab/>
      </w:r>
      <w:r>
        <w:t xml:space="preserve">Illustrative Application: The Validated Query Cycle</w:t>
      </w:r>
    </w:p>
    <w:p>
      <w:pPr>
        <w:pStyle w:val="FirstParagraph"/>
      </w:pPr>
      <w:r>
        <w:t xml:space="preserve">To demonstrate how the three-pillar framework might inform technology design, we describe a validated query cycle that could address institutional memory loss (Pillar 2) while reducing technical barriers (Pillar 3). This six-step cycle (Figure 2) illustrates one approach:</w:t>
      </w:r>
    </w:p>
    <w:p>
      <w:pPr>
        <w:numPr>
          <w:ilvl w:val="0"/>
          <w:numId w:val="1004"/>
        </w:numPr>
      </w:pPr>
      <w:r>
        <w:rPr>
          <w:b/>
          <w:bCs/>
        </w:rPr>
        <w:t xml:space="preserve">Query</w:t>
      </w:r>
      <w:r>
        <w:t xml:space="preserve">: A domain expert (clinician, analyst, or administrator) asks a natural language question about organizational data, such as</w:t>
      </w:r>
      <w:r>
        <w:t xml:space="preserve"> </w:t>
      </w:r>
      <w:r>
        <w:t xml:space="preserve">“</w:t>
      </w:r>
      <w:r>
        <w:t xml:space="preserve">What was our 30-day readmission rate for heart failure patients last quarter?</w:t>
      </w:r>
      <w:r>
        <w:t xml:space="preserve">”</w:t>
      </w:r>
    </w:p>
    <w:p>
      <w:pPr>
        <w:numPr>
          <w:ilvl w:val="0"/>
          <w:numId w:val="1004"/>
        </w:numPr>
      </w:pPr>
      <w:r>
        <w:rPr>
          <w:b/>
          <w:bCs/>
        </w:rPr>
        <w:t xml:space="preserve">Generation</w:t>
      </w:r>
      <w:r>
        <w:t xml:space="preserve">: The conversational AI system generates candidate SQL code from the natural language input, leveraging healthcare ontologies and organizational schema knowledge to produce syntactically correct queries.</w:t>
      </w:r>
    </w:p>
    <w:p>
      <w:pPr>
        <w:numPr>
          <w:ilvl w:val="0"/>
          <w:numId w:val="1004"/>
        </w:numPr>
      </w:pPr>
      <w:r>
        <w:rPr>
          <w:b/>
          <w:bCs/>
        </w:rPr>
        <w:t xml:space="preserve">Validation</w:t>
      </w:r>
      <w:r>
        <w:t xml:space="preserve">: The AI provides a natural language explanation of the SQL logic, allowing the domain expert to validate the query’s intent and results without reviewing raw code. This human-in-the-loop step aligns with</w:t>
      </w:r>
      <w:r>
        <w:t xml:space="preserve"> </w:t>
      </w:r>
      <w:r>
        <w:t xml:space="preserve">“</w:t>
      </w:r>
      <w:r>
        <w:t xml:space="preserve">Human-on-the-Loop</w:t>
      </w:r>
      <w:r>
        <w:t xml:space="preserve">”</w:t>
      </w:r>
      <w:r>
        <w:t xml:space="preserve"> </w:t>
      </w:r>
      <w:r>
        <w:t xml:space="preserve">(HotL) frameworks proposed in doctoral research</w:t>
      </w:r>
      <w:r>
        <w:t xml:space="preserve"> </w:t>
      </w:r>
      <w:r>
        <w:t xml:space="preserve">(</w:t>
      </w:r>
      <w:hyperlink w:anchor="ref-bravorocca2023">
        <w:r>
          <w:rPr>
            <w:rStyle w:val="Hyperlink"/>
          </w:rPr>
          <w:t xml:space="preserve">23</w:t>
        </w:r>
      </w:hyperlink>
      <w:r>
        <w:t xml:space="preserve">)</w:t>
      </w:r>
      <w:r>
        <w:t xml:space="preserve">, allowing experts to guide model adaptation through</w:t>
      </w:r>
      <w:r>
        <w:t xml:space="preserve"> </w:t>
      </w:r>
      <w:r>
        <w:t xml:space="preserve">“</w:t>
      </w:r>
      <w:r>
        <w:t xml:space="preserve">focused, frequent, and incremental</w:t>
      </w:r>
      <w:r>
        <w:t xml:space="preserve">”</w:t>
      </w:r>
      <w:r>
        <w:t xml:space="preserve"> </w:t>
      </w:r>
      <w:r>
        <w:t xml:space="preserve">feedback</w:t>
      </w:r>
      <w:r>
        <w:t xml:space="preserve"> </w:t>
      </w:r>
      <w:r>
        <w:t xml:space="preserve">(</w:t>
      </w:r>
      <w:hyperlink w:anchor="ref-mosqueirarey2023">
        <w:r>
          <w:rPr>
            <w:rStyle w:val="Hyperlink"/>
          </w:rPr>
          <w:t xml:space="preserve">24</w:t>
        </w:r>
      </w:hyperlink>
      <w:r>
        <w:t xml:space="preserve">)</w:t>
      </w:r>
      <w:r>
        <w:t xml:space="preserve">. This transforms validation from a binary check into an iterative knowledge capture process,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25</w:t>
        </w:r>
      </w:hyperlink>
      <w:r>
        <w:t xml:space="preserve">)</w:t>
      </w:r>
      <w:r>
        <w:t xml:space="preserve">.</w:t>
      </w:r>
    </w:p>
    <w:p>
      <w:pPr>
        <w:numPr>
          <w:ilvl w:val="0"/>
          <w:numId w:val="1004"/>
        </w:numPr>
      </w:pPr>
      <w:r>
        <w:rPr>
          <w:b/>
          <w:bCs/>
        </w:rPr>
        <w:t xml:space="preserve">Storage</w:t>
      </w:r>
      <w:r>
        <w:t xml:space="preserve">: Once validated, the NL+SQL pair is stored in organizational memory as a durable knowledge artifact, along with</w:t>
      </w:r>
      <w:r>
        <w:t xml:space="preserve"> </w:t>
      </w:r>
      <w:r>
        <w:t xml:space="preserve">“</w:t>
      </w:r>
      <w:r>
        <w:t xml:space="preserve">Rationale Metadata</w:t>
      </w:r>
      <w:r>
        <w:t xml:space="preserve">”</w:t>
      </w:r>
      <w:r>
        <w:t xml:space="preserve">: a mandatory text field documenting why the query was built that way (e.g.,</w:t>
      </w:r>
      <w:r>
        <w:t xml:space="preserve"> </w:t>
      </w:r>
      <w:r>
        <w:t xml:space="preserve">“</w:t>
      </w:r>
      <w:r>
        <w:t xml:space="preserve">Excluding Hospice per 2025 CMS rules</w:t>
      </w:r>
      <w:r>
        <w:t xml:space="preserve">”</w:t>
      </w:r>
      <w:r>
        <w:t xml:space="preserve">). This ensures knowledge persists even after the original author leaves.</w:t>
      </w:r>
    </w:p>
    <w:p>
      <w:pPr>
        <w:numPr>
          <w:ilvl w:val="0"/>
          <w:numId w:val="1004"/>
        </w:numPr>
      </w:pPr>
      <w:r>
        <w:rPr>
          <w:b/>
          <w:bCs/>
        </w:rPr>
        <w:t xml:space="preserve">Retrieval</w:t>
      </w:r>
      <w:r>
        <w:t xml:space="preserve">: When future users ask similar questions, the system retrieves relevant validated pairs, either returning exact matches or using them to inform new query generation. This reduces dependence on individual expertise.</w:t>
      </w:r>
    </w:p>
    <w:p>
      <w:pPr>
        <w:numPr>
          <w:ilvl w:val="0"/>
          <w:numId w:val="1004"/>
        </w:numPr>
      </w:pPr>
      <w:r>
        <w:rPr>
          <w:b/>
          <w:bCs/>
        </w:rPr>
        <w:t xml:space="preserve">Persistence</w:t>
      </w:r>
      <w:r>
        <w:t xml:space="preserve">: When the original expert leaves the organization, their analytical knowledge remains embedded in validated query pairs. New staff inherit executable knowledge rather than starting from scratch or relying on incomplete documentation.</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9"/>
    <w:bookmarkEnd w:id="30"/>
    <w:bookmarkStart w:id="31" w:name="document-structure"/>
    <w:p>
      <w:pPr>
        <w:pStyle w:val="Heading2"/>
      </w:pPr>
      <w:r>
        <w:rPr>
          <w:rStyle w:val="SectionNumber"/>
        </w:rPr>
        <w:t xml:space="preserve">1.5</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1"/>
    <w:bookmarkEnd w:id="32"/>
    <w:bookmarkStart w:id="39" w:name="methodology"/>
    <w:p>
      <w:pPr>
        <w:pStyle w:val="Heading1"/>
      </w:pPr>
      <w:r>
        <w:rPr>
          <w:rStyle w:val="SectionNumber"/>
        </w:rPr>
        <w:t xml:space="preserve">2</w:t>
      </w:r>
      <w:r>
        <w:tab/>
      </w:r>
      <w:r>
        <w:t xml:space="preserve">Methodology</w:t>
      </w:r>
    </w:p>
    <w:bookmarkStart w:id="33"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three interconnected domains: healthcare analytics maturity, workforce turnover, and natural language to SQL technologies.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5"/>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5"/>
        </w:numPr>
      </w:pPr>
      <w:r>
        <w:rPr>
          <w:b/>
          <w:bCs/>
        </w:rPr>
        <w:t xml:space="preserve">Original analytical framework</w:t>
      </w:r>
      <w:r>
        <w:t xml:space="preserve">: The three-pillar framework emerged iteratively from the literature rather than being pre-specified</w:t>
      </w:r>
    </w:p>
    <w:p>
      <w:pPr>
        <w:pStyle w:val="Compact"/>
        <w:numPr>
          <w:ilvl w:val="0"/>
          <w:numId w:val="1005"/>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3"/>
    <w:bookmarkStart w:id="34" w:name="literature-search"/>
    <w:p>
      <w:pPr>
        <w:pStyle w:val="Heading2"/>
      </w:pPr>
      <w:r>
        <w:rPr>
          <w:rStyle w:val="SectionNumber"/>
        </w:rPr>
        <w:t xml:space="preserve">2.2</w:t>
      </w:r>
      <w:r>
        <w:tab/>
      </w:r>
      <w:r>
        <w:t xml:space="preserve">Literature Search</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6"/>
        </w:numPr>
      </w:pPr>
      <w:r>
        <w:t xml:space="preserve">Crossref: Cross-disciplinary academic literature, citation metadata</w:t>
      </w:r>
    </w:p>
    <w:p>
      <w:pPr>
        <w:pStyle w:val="Compact"/>
        <w:numPr>
          <w:ilvl w:val="0"/>
          <w:numId w:val="1006"/>
        </w:numPr>
      </w:pPr>
      <w:r>
        <w:t xml:space="preserve">PubMed: Clinical informatics, healthcare workforce, medical administration</w:t>
      </w:r>
    </w:p>
    <w:p>
      <w:pPr>
        <w:pStyle w:val="Compact"/>
        <w:numPr>
          <w:ilvl w:val="0"/>
          <w:numId w:val="1006"/>
        </w:numPr>
      </w:pPr>
      <w:r>
        <w:t xml:space="preserve">arXiv: Machine learning and NLP preprints, benchmark studies</w:t>
      </w:r>
    </w:p>
    <w:p>
      <w:pPr>
        <w:pStyle w:val="Compact"/>
        <w:numPr>
          <w:ilvl w:val="0"/>
          <w:numId w:val="1006"/>
        </w:numPr>
      </w:pPr>
      <w:r>
        <w:t xml:space="preserve">Semantic Scholar: AI and computer science papers, citation analysis</w:t>
      </w:r>
    </w:p>
    <w:p>
      <w:pPr>
        <w:pStyle w:val="FirstParagraph"/>
      </w:pPr>
      <w:r>
        <w:rPr>
          <w:b/>
          <w:bCs/>
        </w:rPr>
        <w:t xml:space="preserve">Industry Sources:</w:t>
      </w:r>
    </w:p>
    <w:p>
      <w:pPr>
        <w:pStyle w:val="Compact"/>
        <w:numPr>
          <w:ilvl w:val="0"/>
          <w:numId w:val="1007"/>
        </w:numPr>
      </w:pPr>
      <w:r>
        <w:t xml:space="preserve">HIMSS: Analytics Maturity Model documentation and industry standards</w:t>
      </w:r>
    </w:p>
    <w:p>
      <w:pPr>
        <w:pStyle w:val="Compact"/>
        <w:numPr>
          <w:ilvl w:val="0"/>
          <w:numId w:val="1007"/>
        </w:numPr>
      </w:pPr>
      <w:r>
        <w:t xml:space="preserve">Healthcare providers: NHS Trust implementation case studies</w:t>
      </w:r>
    </w:p>
    <w:p>
      <w:pPr>
        <w:pStyle w:val="Compact"/>
        <w:numPr>
          <w:ilvl w:val="0"/>
          <w:numId w:val="1007"/>
        </w:numPr>
      </w:pPr>
      <w:r>
        <w:t xml:space="preserve">Market research: Precedence Research, Forrester analyst reports</w:t>
      </w:r>
    </w:p>
    <w:p>
      <w:pPr>
        <w:pStyle w:val="Compact"/>
        <w:numPr>
          <w:ilvl w:val="0"/>
          <w:numId w:val="1007"/>
        </w:numPr>
      </w:pPr>
      <w:r>
        <w:t xml:space="preserve">Technology vendors: Health Catalyst, Oracle, Anthropic technical documentation</w:t>
      </w:r>
    </w:p>
    <w:p>
      <w:pPr>
        <w:pStyle w:val="Compact"/>
        <w:numPr>
          <w:ilvl w:val="0"/>
          <w:numId w:val="1007"/>
        </w:numPr>
      </w:pPr>
      <w:r>
        <w:t xml:space="preserve">Professional associations: AHIMA/NORC workforce surveys</w:t>
      </w:r>
    </w:p>
    <w:p>
      <w:pPr>
        <w:pStyle w:val="Compact"/>
        <w:numPr>
          <w:ilvl w:val="0"/>
          <w:numId w:val="1007"/>
        </w:numPr>
      </w:pPr>
      <w:r>
        <w:t xml:space="preserve">Business news: IBM, CNBC coverage of healthcare analytics ventures</w:t>
      </w:r>
    </w:p>
    <w:p>
      <w:pPr>
        <w:pStyle w:val="FirstParagraph"/>
      </w:pPr>
      <w:r>
        <w:rPr>
          <w:b/>
          <w:bCs/>
        </w:rPr>
        <w:t xml:space="preserve">Search Concepts:</w:t>
      </w:r>
    </w:p>
    <w:p>
      <w:pPr>
        <w:pStyle w:val="BodyText"/>
      </w:pPr>
      <w:r>
        <w:t xml:space="preserve">Search terms were organized around the three-pillar framework:</w:t>
      </w:r>
    </w:p>
    <w:p>
      <w:pPr>
        <w:pStyle w:val="Compact"/>
        <w:numPr>
          <w:ilvl w:val="0"/>
          <w:numId w:val="1008"/>
        </w:numPr>
      </w:pPr>
      <w:r>
        <w:t xml:space="preserve">Analytics maturity:</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analytics adoption,</w:t>
      </w:r>
      <w:r>
        <w:t xml:space="preserve">”</w:t>
      </w:r>
      <w:r>
        <w:t xml:space="preserve"> </w:t>
      </w:r>
      <w:r>
        <w:t xml:space="preserve">“</w:t>
      </w:r>
      <w:r>
        <w:t xml:space="preserve">analytics standardization failure,</w:t>
      </w:r>
      <w:r>
        <w:t xml:space="preserve">”</w:t>
      </w:r>
      <w:r>
        <w:t xml:space="preserve"> </w:t>
      </w:r>
      <w:r>
        <w:t xml:space="preserve">“</w:t>
      </w:r>
      <w:r>
        <w:t xml:space="preserve">low-code healthcare ROI,</w:t>
      </w:r>
      <w:r>
        <w:t xml:space="preserve">”</w:t>
      </w:r>
      <w:r>
        <w:t xml:space="preserve"> </w:t>
      </w:r>
      <w:r>
        <w:t xml:space="preserve">“</w:t>
      </w:r>
      <w:r>
        <w:t xml:space="preserve">conversational AI platforms</w:t>
      </w:r>
      <w:r>
        <w:t xml:space="preserve">”</w:t>
      </w:r>
    </w:p>
    <w:p>
      <w:pPr>
        <w:pStyle w:val="Compact"/>
        <w:numPr>
          <w:ilvl w:val="0"/>
          <w:numId w:val="1008"/>
        </w:numPr>
      </w:pPr>
      <w:r>
        <w:t xml:space="preserve">Workforce turnover:</w:t>
      </w:r>
      <w:r>
        <w:t xml:space="preserve"> </w:t>
      </w:r>
      <w:r>
        <w:t xml:space="preserve">“</w:t>
      </w:r>
      <w:r>
        <w:t xml:space="preserve">healthcare IT tenure,</w:t>
      </w:r>
      <w:r>
        <w:t xml:space="preserve">”</w:t>
      </w:r>
      <w:r>
        <w:t xml:space="preserve"> </w:t>
      </w:r>
      <w:r>
        <w:t xml:space="preserve">“</w:t>
      </w:r>
      <w:r>
        <w:t xml:space="preserve">IT training time,</w:t>
      </w:r>
      <w:r>
        <w:t xml:space="preserve">”</w:t>
      </w:r>
      <w:r>
        <w:t xml:space="preserve"> </w:t>
      </w:r>
      <w:r>
        <w:t xml:space="preserve">“</w:t>
      </w:r>
      <w:r>
        <w:t xml:space="preserve">turnover cost salary,</w:t>
      </w:r>
      <w:r>
        <w:t xml:space="preserve">”</w:t>
      </w:r>
      <w:r>
        <w:t xml:space="preserve"> </w:t>
      </w:r>
      <w:r>
        <w:t xml:space="preserve">“</w:t>
      </w:r>
      <w:r>
        <w:t xml:space="preserve">institutional memory loss,</w:t>
      </w:r>
      <w:r>
        <w:t xml:space="preserve">”</w:t>
      </w:r>
      <w:r>
        <w:t xml:space="preserve"> </w:t>
      </w:r>
      <w:r>
        <w:t xml:space="preserve">“</w:t>
      </w:r>
      <w:r>
        <w:t xml:space="preserve">knowledge portal,</w:t>
      </w:r>
      <w:r>
        <w:t xml:space="preserve">”</w:t>
      </w:r>
      <w:r>
        <w:t xml:space="preserve"> </w:t>
      </w:r>
      <w:r>
        <w:t xml:space="preserve">“</w:t>
      </w:r>
      <w:r>
        <w:t xml:space="preserve">knowledge capture,</w:t>
      </w:r>
      <w:r>
        <w:t xml:space="preserve">”</w:t>
      </w:r>
      <w:r>
        <w:t xml:space="preserve"> </w:t>
      </w:r>
      <w:r>
        <w:t xml:space="preserve">“</w:t>
      </w:r>
      <w:r>
        <w:t xml:space="preserve">SECI model analytics</w:t>
      </w:r>
      <w:r>
        <w:t xml:space="preserve">”</w:t>
      </w:r>
    </w:p>
    <w:p>
      <w:pPr>
        <w:pStyle w:val="Compact"/>
        <w:numPr>
          <w:ilvl w:val="0"/>
          <w:numId w:val="1008"/>
        </w:numPr>
      </w:pPr>
      <w:r>
        <w:t xml:space="preserve">Technical barriers:</w:t>
      </w:r>
      <w:r>
        <w:t xml:space="preserve"> </w:t>
      </w:r>
      <w:r>
        <w:t xml:space="preserve">“</w:t>
      </w:r>
      <w:r>
        <w:t xml:space="preserve">NL2SQL healthcare,</w:t>
      </w:r>
      <w:r>
        <w:t xml:space="preserve">”</w:t>
      </w:r>
      <w:r>
        <w:t xml:space="preserve"> </w:t>
      </w:r>
      <w:r>
        <w:t xml:space="preserve">“</w:t>
      </w:r>
      <w:r>
        <w:t xml:space="preserve">text-to-SQL clinical,</w:t>
      </w:r>
      <w:r>
        <w:t xml:space="preserve">”</w:t>
      </w:r>
      <w:r>
        <w:t xml:space="preserve"> </w:t>
      </w:r>
      <w:r>
        <w:t xml:space="preserve">“</w:t>
      </w:r>
      <w:r>
        <w:t xml:space="preserve">MIMICSQL,</w:t>
      </w:r>
      <w:r>
        <w:t xml:space="preserve">”</w:t>
      </w:r>
      <w:r>
        <w:t xml:space="preserve"> </w:t>
      </w:r>
      <w:r>
        <w:t xml:space="preserve">“</w:t>
      </w:r>
      <w:r>
        <w:t xml:space="preserve">EHRSQL,</w:t>
      </w:r>
      <w:r>
        <w:t xml:space="preserve">”</w:t>
      </w:r>
      <w:r>
        <w:t xml:space="preserve"> </w:t>
      </w:r>
      <w:r>
        <w:t xml:space="preserve">“</w:t>
      </w:r>
      <w:r>
        <w:t xml:space="preserve">NL2SQL accuracy,</w:t>
      </w:r>
      <w:r>
        <w:t xml:space="preserve">”</w:t>
      </w:r>
      <w:r>
        <w:t xml:space="preserve"> </w:t>
      </w:r>
      <w:r>
        <w:t xml:space="preserve">“</w:t>
      </w:r>
      <w:r>
        <w:t xml:space="preserve">NL2SQL productivity,</w:t>
      </w:r>
      <w:r>
        <w:t xml:space="preserve">”</w:t>
      </w:r>
      <w:r>
        <w:t xml:space="preserve"> </w:t>
      </w:r>
      <w:r>
        <w:t xml:space="preserve">“</w:t>
      </w:r>
      <w:r>
        <w:t xml:space="preserve">schema discovery,</w:t>
      </w:r>
      <w:r>
        <w:t xml:space="preserve">”</w:t>
      </w:r>
      <w:r>
        <w:t xml:space="preserve"> </w:t>
      </w:r>
      <w:r>
        <w:t xml:space="preserve">“</w:t>
      </w:r>
      <w:r>
        <w:t xml:space="preserve">PK/FK discovery,</w:t>
      </w:r>
      <w:r>
        <w:t xml:space="preserve">”</w:t>
      </w:r>
      <w:r>
        <w:t xml:space="preserve"> </w:t>
      </w:r>
      <w:r>
        <w:t xml:space="preserve">“</w:t>
      </w:r>
      <w:r>
        <w:t xml:space="preserve">semantic column matching,</w:t>
      </w:r>
      <w:r>
        <w:t xml:space="preserve">”</w:t>
      </w:r>
      <w:r>
        <w:t xml:space="preserve"> </w:t>
      </w:r>
      <w:r>
        <w:t xml:space="preserve">“</w:t>
      </w:r>
      <w:r>
        <w:t xml:space="preserve">vector embeddings schema</w:t>
      </w:r>
      <w:r>
        <w:t xml:space="preserve">”</w:t>
      </w:r>
    </w:p>
    <w:p>
      <w:pPr>
        <w:pStyle w:val="FirstParagraph"/>
      </w:pPr>
      <w:r>
        <w:rPr>
          <w:b/>
          <w:bCs/>
        </w:rPr>
        <w:t xml:space="preserve">Search Results:</w:t>
      </w:r>
    </w:p>
    <w:p>
      <w:pPr>
        <w:pStyle w:val="BodyText"/>
      </w:pPr>
      <w:r>
        <w:t xml:space="preserve">Searches across all databases yielded 570 initial results after deduplication. Crossref searches for terms including</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NL2SQL clinical,</w:t>
      </w:r>
      <w:r>
        <w:t xml:space="preserve">”</w:t>
      </w:r>
      <w:r>
        <w:t xml:space="preserve"> </w:t>
      </w:r>
      <w:r>
        <w:t xml:space="preserve">“</w:t>
      </w:r>
      <w:r>
        <w:t xml:space="preserve">knowledge portal,</w:t>
      </w:r>
      <w:r>
        <w:t xml:space="preserve">”</w:t>
      </w:r>
      <w:r>
        <w:t xml:space="preserve"> </w:t>
      </w:r>
      <w:r>
        <w:t xml:space="preserve">and</w:t>
      </w:r>
      <w:r>
        <w:t xml:space="preserve"> </w:t>
      </w:r>
      <w:r>
        <w:t xml:space="preserve">“</w:t>
      </w:r>
      <w:r>
        <w:t xml:space="preserve">low-code ROI</w:t>
      </w:r>
      <w:r>
        <w:t xml:space="preserve">”</w:t>
      </w:r>
      <w:r>
        <w:t xml:space="preserve"> </w:t>
      </w:r>
      <w:r>
        <w:t xml:space="preserve">(2015-current) returned 285 results, of which 15 passed screening. PubMed searches combining workforce terms (</w:t>
      </w:r>
      <w:r>
        <w:t xml:space="preserve">“</w:t>
      </w:r>
      <w:r>
        <w:t xml:space="preserve">healthcare IT tenure,</w:t>
      </w:r>
      <w:r>
        <w:t xml:space="preserve">”</w:t>
      </w:r>
      <w:r>
        <w:t xml:space="preserve"> </w:t>
      </w:r>
      <w:r>
        <w:t xml:space="preserve">“</w:t>
      </w:r>
      <w:r>
        <w:t xml:space="preserve">IT training time,</w:t>
      </w:r>
      <w:r>
        <w:t xml:space="preserve">”</w:t>
      </w:r>
      <w:r>
        <w:t xml:space="preserve"> </w:t>
      </w:r>
      <w:r>
        <w:t xml:space="preserve">“</w:t>
      </w:r>
      <w:r>
        <w:t xml:space="preserve">turnover cost salary</w:t>
      </w:r>
      <w:r>
        <w:t xml:space="preserve">”</w:t>
      </w:r>
      <w:r>
        <w:t xml:space="preserve">) with analytics terms (</w:t>
      </w:r>
      <w:r>
        <w:t xml:space="preserve">“</w:t>
      </w:r>
      <w:r>
        <w:t xml:space="preserve">institutional memory,</w:t>
      </w:r>
      <w:r>
        <w:t xml:space="preserve">”</w:t>
      </w:r>
      <w:r>
        <w:t xml:space="preserve"> </w:t>
      </w:r>
      <w:r>
        <w:t xml:space="preserve">“</w:t>
      </w:r>
      <w:r>
        <w:t xml:space="preserve">analytics adoption,</w:t>
      </w:r>
      <w:r>
        <w:t xml:space="preserve">”</w:t>
      </w:r>
      <w:r>
        <w:t xml:space="preserve"> </w:t>
      </w:r>
      <w:r>
        <w:t xml:space="preserve">“</w:t>
      </w:r>
      <w:r>
        <w:t xml:space="preserve">knowledge capture</w:t>
      </w:r>
      <w:r>
        <w:t xml:space="preserve">”</w:t>
      </w:r>
      <w:r>
        <w:t xml:space="preserve">) (2015-current) yielded 142 results with 12 passing screening. arXiv searches in cs.CL and cs.DB categories for</w:t>
      </w:r>
      <w:r>
        <w:t xml:space="preserve"> </w:t>
      </w:r>
      <w:r>
        <w:t xml:space="preserve">“</w:t>
      </w:r>
      <w:r>
        <w:t xml:space="preserve">text-to-SQL</w:t>
      </w:r>
      <w:r>
        <w:t xml:space="preserve">”</w:t>
      </w:r>
      <w:r>
        <w:t xml:space="preserve"> </w:t>
      </w:r>
      <w:r>
        <w:t xml:space="preserve">combined with technical terms (</w:t>
      </w:r>
      <w:r>
        <w:t xml:space="preserve">“</w:t>
      </w:r>
      <w:r>
        <w:t xml:space="preserve">MIMICSQL,</w:t>
      </w:r>
      <w:r>
        <w:t xml:space="preserve">”</w:t>
      </w:r>
      <w:r>
        <w:t xml:space="preserve"> </w:t>
      </w:r>
      <w:r>
        <w:t xml:space="preserve">“</w:t>
      </w:r>
      <w:r>
        <w:t xml:space="preserve">EHRSQL,</w:t>
      </w:r>
      <w:r>
        <w:t xml:space="preserve">”</w:t>
      </w:r>
      <w:r>
        <w:t xml:space="preserve"> </w:t>
      </w:r>
      <w:r>
        <w:t xml:space="preserve">“</w:t>
      </w:r>
      <w:r>
        <w:t xml:space="preserve">schema discovery,</w:t>
      </w:r>
      <w:r>
        <w:t xml:space="preserve">”</w:t>
      </w:r>
      <w:r>
        <w:t xml:space="preserve"> </w:t>
      </w:r>
      <w:r>
        <w:t xml:space="preserve">“</w:t>
      </w:r>
      <w:r>
        <w:t xml:space="preserve">PK/FK discovery,</w:t>
      </w:r>
      <w:r>
        <w:t xml:space="preserve">”</w:t>
      </w:r>
      <w:r>
        <w:t xml:space="preserve"> </w:t>
      </w:r>
      <w:r>
        <w:t xml:space="preserve">“</w:t>
      </w:r>
      <w:r>
        <w:t xml:space="preserve">semantic matching,</w:t>
      </w:r>
      <w:r>
        <w:t xml:space="preserve">”</w:t>
      </w:r>
      <w:r>
        <w:t xml:space="preserve"> </w:t>
      </w:r>
      <w:r>
        <w:t xml:space="preserve">“</w:t>
      </w:r>
      <w:r>
        <w:t xml:space="preserve">vector embeddings</w:t>
      </w:r>
      <w:r>
        <w:t xml:space="preserve">”</w:t>
      </w:r>
      <w:r>
        <w:t xml:space="preserve">) (2020-current) produced 71 results with 6 passing screening. Semantic Scholar searches for</w:t>
      </w:r>
      <w:r>
        <w:t xml:space="preserve"> </w:t>
      </w:r>
      <w:r>
        <w:t xml:space="preserve">“</w:t>
      </w:r>
      <w:r>
        <w:t xml:space="preserve">NL2SQL healthcare,</w:t>
      </w:r>
      <w:r>
        <w:t xml:space="preserve">”</w:t>
      </w:r>
      <w:r>
        <w:t xml:space="preserve"> </w:t>
      </w:r>
      <w:r>
        <w:t xml:space="preserve">“</w:t>
      </w:r>
      <w:r>
        <w:t xml:space="preserve">NL2SQL productivity,</w:t>
      </w:r>
      <w:r>
        <w:t xml:space="preserve">”</w:t>
      </w:r>
      <w:r>
        <w:t xml:space="preserve"> </w:t>
      </w:r>
      <w:r>
        <w:t xml:space="preserve">“</w:t>
      </w:r>
      <w:r>
        <w:t xml:space="preserve">conversational AI clinical,</w:t>
      </w:r>
      <w:r>
        <w:t xml:space="preserve">”</w:t>
      </w:r>
      <w:r>
        <w:t xml:space="preserve"> </w:t>
      </w:r>
      <w:r>
        <w:t xml:space="preserve">and</w:t>
      </w:r>
      <w:r>
        <w:t xml:space="preserve"> </w:t>
      </w:r>
      <w:r>
        <w:t xml:space="preserve">“</w:t>
      </w:r>
      <w:r>
        <w:t xml:space="preserve">SECI model analytics</w:t>
      </w:r>
      <w:r>
        <w:t xml:space="preserve">”</w:t>
      </w:r>
      <w:r>
        <w:t xml:space="preserve"> </w:t>
      </w:r>
      <w:r>
        <w:t xml:space="preserve">(2015-current) returned 72 results with 8 passing screening. The final corpus includes 81 academic and 11 industry sources (92 total).</w:t>
      </w:r>
    </w:p>
    <w:p>
      <w:pPr>
        <w:pStyle w:val="BodyText"/>
      </w:pPr>
      <w:r>
        <w:t xml:space="preserve">Figure 3 illustrates the literature selection process, showing progression from initial database search through screening and quality assessment to the final corpus of 92 sources.</w:t>
      </w:r>
    </w:p>
    <w:bookmarkEnd w:id="34"/>
    <w:bookmarkStart w:id="35" w:name="source-selection"/>
    <w:p>
      <w:pPr>
        <w:pStyle w:val="Heading2"/>
      </w:pPr>
      <w:r>
        <w:rPr>
          <w:rStyle w:val="SectionNumber"/>
        </w:rPr>
        <w:t xml:space="preserve">2.3</w:t>
      </w:r>
      <w:r>
        <w:tab/>
      </w:r>
      <w:r>
        <w:t xml:space="preserve">Source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09"/>
        </w:numPr>
      </w:pPr>
      <w:r>
        <w:t xml:space="preserve">Peer-reviewed publications in healthcare informatics, medical informatics, computer science, or health services research</w:t>
      </w:r>
    </w:p>
    <w:p>
      <w:pPr>
        <w:pStyle w:val="Compact"/>
        <w:numPr>
          <w:ilvl w:val="0"/>
          <w:numId w:val="1009"/>
        </w:numPr>
      </w:pPr>
      <w:r>
        <w:t xml:space="preserve">Industry reports from established healthcare IT organizations (HIMSS, AHIMA, AMIA)</w:t>
      </w:r>
    </w:p>
    <w:p>
      <w:pPr>
        <w:pStyle w:val="Compact"/>
        <w:numPr>
          <w:ilvl w:val="0"/>
          <w:numId w:val="1009"/>
        </w:numPr>
      </w:pPr>
      <w:r>
        <w:t xml:space="preserve">Publications from 2015-current, with emphasis on 2020-current for rapidly evolving NL2SQL technologies</w:t>
      </w:r>
    </w:p>
    <w:p>
      <w:pPr>
        <w:pStyle w:val="Compact"/>
        <w:numPr>
          <w:ilvl w:val="0"/>
          <w:numId w:val="1009"/>
        </w:numPr>
      </w:pPr>
      <w:r>
        <w:t xml:space="preserve">English language publications</w:t>
      </w:r>
    </w:p>
    <w:p>
      <w:pPr>
        <w:pStyle w:val="Compact"/>
        <w:numPr>
          <w:ilvl w:val="0"/>
          <w:numId w:val="1009"/>
        </w:numPr>
      </w:pPr>
      <w:r>
        <w:t xml:space="preserve">Sources with verifiable DOIs, URLs, or institutional attribution</w:t>
      </w:r>
    </w:p>
    <w:p>
      <w:pPr>
        <w:pStyle w:val="FirstParagraph"/>
      </w:pPr>
      <w:r>
        <w:rPr>
          <w:b/>
          <w:bCs/>
        </w:rPr>
        <w:t xml:space="preserve">Exclusion Criteria:</w:t>
      </w:r>
    </w:p>
    <w:p>
      <w:pPr>
        <w:pStyle w:val="Compact"/>
        <w:numPr>
          <w:ilvl w:val="0"/>
          <w:numId w:val="1010"/>
        </w:numPr>
      </w:pPr>
      <w:r>
        <w:t xml:space="preserve">Sources without verifiable attribution or institutional backing</w:t>
      </w:r>
    </w:p>
    <w:p>
      <w:pPr>
        <w:pStyle w:val="Compact"/>
        <w:numPr>
          <w:ilvl w:val="0"/>
          <w:numId w:val="1010"/>
        </w:numPr>
      </w:pPr>
      <w:r>
        <w:t xml:space="preserve">Vendor marketing materials without independent validation</w:t>
      </w:r>
    </w:p>
    <w:p>
      <w:pPr>
        <w:pStyle w:val="Compact"/>
        <w:numPr>
          <w:ilvl w:val="0"/>
          <w:numId w:val="1010"/>
        </w:numPr>
      </w:pPr>
      <w:r>
        <w:t xml:space="preserve">Preprints without subsequent peer-reviewed publication (exception: foundational NL2SQL benchmarks where peer review is pending)</w:t>
      </w:r>
    </w:p>
    <w:p>
      <w:pPr>
        <w:pStyle w:val="Compact"/>
        <w:numPr>
          <w:ilvl w:val="0"/>
          <w:numId w:val="1010"/>
        </w:numPr>
      </w:pPr>
      <w:r>
        <w:t xml:space="preserve">Studies with unverifiable statistics or methodological concerns</w:t>
      </w:r>
    </w:p>
    <w:bookmarkEnd w:id="35"/>
    <w:bookmarkStart w:id="36" w:name="evidence-synthesis"/>
    <w:p>
      <w:pPr>
        <w:pStyle w:val="Heading2"/>
      </w:pPr>
      <w:r>
        <w:rPr>
          <w:rStyle w:val="SectionNumber"/>
        </w:rPr>
        <w:t xml:space="preserve">2.4</w:t>
      </w:r>
      <w:r>
        <w:tab/>
      </w:r>
      <w:r>
        <w:t xml:space="preserve">Evidence Synthesis</w:t>
      </w:r>
    </w:p>
    <w:p>
      <w:pPr>
        <w:pStyle w:val="FirstParagraph"/>
      </w:pPr>
      <w:r>
        <w:t xml:space="preserve">Evidence was synthesized thematically around the three-pillar framework:</w:t>
      </w:r>
    </w:p>
    <w:p>
      <w:pPr>
        <w:pStyle w:val="Compact"/>
        <w:numPr>
          <w:ilvl w:val="0"/>
          <w:numId w:val="1011"/>
        </w:numPr>
      </w:pPr>
      <w:r>
        <w:rPr>
          <w:b/>
          <w:bCs/>
        </w:rPr>
        <w:t xml:space="preserve">Analytics maturity</w:t>
      </w:r>
      <w:r>
        <w:t xml:space="preserve">: Evidence on HIMSS AMAM adoption, healthcare analytics capabilities, and organizational readiness</w:t>
      </w:r>
    </w:p>
    <w:p>
      <w:pPr>
        <w:pStyle w:val="Compact"/>
        <w:numPr>
          <w:ilvl w:val="0"/>
          <w:numId w:val="1011"/>
        </w:numPr>
      </w:pPr>
      <w:r>
        <w:rPr>
          <w:b/>
          <w:bCs/>
        </w:rPr>
        <w:t xml:space="preserve">Workforce turnover</w:t>
      </w:r>
      <w:r>
        <w:t xml:space="preserve">: Evidence on nursing and IT staff turnover rates, institutional memory loss, and knowledge transfer challenges</w:t>
      </w:r>
    </w:p>
    <w:p>
      <w:pPr>
        <w:pStyle w:val="Compact"/>
        <w:numPr>
          <w:ilvl w:val="0"/>
          <w:numId w:val="1011"/>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grey-literature-quality-assessment"/>
    <w:p>
      <w:pPr>
        <w:pStyle w:val="Heading2"/>
      </w:pPr>
      <w:r>
        <w:rPr>
          <w:rStyle w:val="SectionNumber"/>
        </w:rPr>
        <w:t xml:space="preserve">2.5</w:t>
      </w:r>
      <w:r>
        <w:tab/>
      </w:r>
      <w:r>
        <w:t xml:space="preserve">Grey Literature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26</w:t>
        </w:r>
      </w:hyperlink>
      <w:r>
        <w:t xml:space="preserve">)</w:t>
      </w:r>
      <w:r>
        <w:t xml:space="preserve">, which evaluates Authority, Accuracy, Coverage, Objectivity, Date, and Significance. Sources with vendor sponsorship were retained when no independent alternative existed but flagged in-text. Table</w:t>
      </w:r>
      <w:r>
        <w:t xml:space="preserve"> </w:t>
      </w:r>
      <w:r>
        <w:t xml:space="preserve"> </w:t>
      </w:r>
      <w:r>
        <w:t xml:space="preserve">summarizes the assessment.</w:t>
      </w:r>
    </w:p>
    <w:bookmarkEnd w:id="37"/>
    <w:bookmarkStart w:id="38"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2"/>
        </w:numPr>
      </w:pPr>
      <w:r>
        <w:rPr>
          <w:b/>
          <w:bCs/>
        </w:rPr>
        <w:t xml:space="preserve">Non-exhaustive search</w:t>
      </w:r>
      <w:r>
        <w:t xml:space="preserve">: Literature identification was selective rather than exhaustive; relevant studies may have been missed</w:t>
      </w:r>
    </w:p>
    <w:p>
      <w:pPr>
        <w:pStyle w:val="Compact"/>
        <w:numPr>
          <w:ilvl w:val="0"/>
          <w:numId w:val="1012"/>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2"/>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2"/>
        </w:numPr>
      </w:pPr>
      <w:r>
        <w:rPr>
          <w:b/>
          <w:bCs/>
        </w:rPr>
        <w:t xml:space="preserve">Post-hoc selection criteria</w:t>
      </w:r>
      <w:r>
        <w:t xml:space="preserve">: Inclusion and exclusion criteria were refined during the review process rather than pre-registered</w:t>
      </w:r>
    </w:p>
    <w:p>
      <w:pPr>
        <w:pStyle w:val="Compact"/>
        <w:numPr>
          <w:ilvl w:val="0"/>
          <w:numId w:val="1012"/>
        </w:numPr>
      </w:pPr>
      <w:r>
        <w:rPr>
          <w:b/>
          <w:bCs/>
        </w:rPr>
        <w:t xml:space="preserve">No protocol registration</w:t>
      </w:r>
      <w:r>
        <w:t xml:space="preserve">: This review was not registered in PROSPERO or similar registries</w:t>
      </w:r>
    </w:p>
    <w:p>
      <w:pPr>
        <w:pStyle w:val="Compact"/>
        <w:numPr>
          <w:ilvl w:val="0"/>
          <w:numId w:val="1012"/>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15</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16</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8"/>
    <w:bookmarkEnd w:id="39"/>
    <w:bookmarkStart w:id="43"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40"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3"/>
        </w:numPr>
      </w:pPr>
      <w:r>
        <w:rPr>
          <w:b/>
          <w:bCs/>
        </w:rPr>
        <w:t xml:space="preserve">Theme Extraction</w:t>
      </w:r>
      <w:r>
        <w:t xml:space="preserve">: Systematic coding of 92 sources identified recurring themes across technical, organizational, and workforce dimensions</w:t>
      </w:r>
    </w:p>
    <w:p>
      <w:pPr>
        <w:pStyle w:val="Compact"/>
        <w:numPr>
          <w:ilvl w:val="0"/>
          <w:numId w:val="1013"/>
        </w:numPr>
      </w:pPr>
      <w:r>
        <w:rPr>
          <w:b/>
          <w:b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27</w:t>
        </w:r>
      </w:hyperlink>
      <w:r>
        <w:t xml:space="preserve">,</w:t>
      </w:r>
      <w:hyperlink w:anchor="ref-soylemez2017">
        <w:r>
          <w:rPr>
            <w:rStyle w:val="Hyperlink"/>
          </w:rPr>
          <w:t xml:space="preserve">28</w:t>
        </w:r>
      </w:hyperlink>
      <w:r>
        <w:t xml:space="preserve">)</w:t>
      </w:r>
      <w:r>
        <w:t xml:space="preserve">.</w:t>
      </w:r>
    </w:p>
    <w:p>
      <w:pPr>
        <w:pStyle w:val="Compact"/>
        <w:numPr>
          <w:ilvl w:val="0"/>
          <w:numId w:val="1013"/>
        </w:numPr>
      </w:pPr>
      <w:r>
        <w:rPr>
          <w:b/>
          <w:bCs/>
        </w:rPr>
        <w:t xml:space="preserve">Pillar Identification</w:t>
      </w:r>
      <w:r>
        <w:t xml:space="preserve">: Three orthogonal yet interconnected dimensions emerged as the organizing structure:</w:t>
      </w:r>
    </w:p>
    <w:p>
      <w:pPr>
        <w:pStyle w:val="Compact"/>
        <w:numPr>
          <w:ilvl w:val="1"/>
          <w:numId w:val="1014"/>
        </w:numPr>
      </w:pPr>
      <w:r>
        <w:rPr>
          <w:b/>
          <w:bCs/>
        </w:rPr>
        <w:t xml:space="preserve">Analytics Maturity</w:t>
      </w:r>
      <w:r>
        <w:t xml:space="preserve">: Organizational capability progression measured against HIMSS AMAM stages</w:t>
      </w:r>
    </w:p>
    <w:p>
      <w:pPr>
        <w:pStyle w:val="Compact"/>
        <w:numPr>
          <w:ilvl w:val="1"/>
          <w:numId w:val="1014"/>
        </w:numPr>
      </w:pPr>
      <w:r>
        <w:rPr>
          <w:b/>
          <w:bCs/>
        </w:rPr>
        <w:t xml:space="preserve">Workforce Agility</w:t>
      </w:r>
      <w:r>
        <w:t xml:space="preserve">: Human capital retention and tacit knowledge preservation</w:t>
      </w:r>
    </w:p>
    <w:p>
      <w:pPr>
        <w:pStyle w:val="Compact"/>
        <w:numPr>
          <w:ilvl w:val="1"/>
          <w:numId w:val="1014"/>
        </w:numPr>
      </w:pPr>
      <w:r>
        <w:rPr>
          <w:b/>
          <w:bCs/>
        </w:rPr>
        <w:t xml:space="preserve">Technical Enablement</w:t>
      </w:r>
      <w:r>
        <w:t xml:space="preserve">: NL2SQL capabilities and healthcare-specific implementation solutions</w:t>
      </w:r>
    </w:p>
    <w:p>
      <w:pPr>
        <w:pStyle w:val="Compact"/>
        <w:numPr>
          <w:ilvl w:val="0"/>
          <w:numId w:val="1013"/>
        </w:numPr>
      </w:pPr>
      <w:r>
        <w:rPr>
          <w:b/>
          <w:bCs/>
        </w:rPr>
        <w:t xml:space="preserve">Framework Validation</w:t>
      </w:r>
      <w:r>
        <w:t xml:space="preserve">: Pillar structure tested against all 92 sources to confirm comprehensive coverage without significant gaps</w:t>
      </w:r>
    </w:p>
    <w:bookmarkEnd w:id="40"/>
    <w:bookmarkStart w:id="41"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 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w:t>
      </w:r>
    </w:p>
    <w:bookmarkEnd w:id="41"/>
    <w:bookmarkStart w:id="42"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2"/>
    <w:bookmarkEnd w:id="43"/>
    <w:bookmarkStart w:id="70"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three-pillar framework domains: natural language to SQL generation (technical barriers), healthcare analytics maturity, and workforce dynamics. Drawing from peer-reviewed research, industry reports, and benchmark datasets identified through the methodology described in Section 2 (Methodology), we document the current state of each pillar and reveal interconnections. Analysis reveals three critical findings: (1) natural language to SQL generation has evolved significantly but faces healthcare-specific challenges requiring specialized solutions, (2) healthcare analytics maturity remains low with most organizations struggling at basic stages, and (3) healthcare workforce turnover creates institutional memory loss that traditional approaches fail to address. Evidence across these three domains reveals significant interconnections and compounding effects that the three-pillar framework synthesizes.</w:t>
      </w:r>
    </w:p>
    <w:bookmarkStart w:id="48" w:name="X79e53be5adb6b9863f8ca49c43cb7059ea634a1"/>
    <w:p>
      <w:pPr>
        <w:pStyle w:val="Heading2"/>
      </w:pPr>
      <w:r>
        <w:rPr>
          <w:rStyle w:val="SectionNumber"/>
        </w:rPr>
        <w:t xml:space="preserve">4.1</w:t>
      </w:r>
      <w:r>
        <w:tab/>
      </w:r>
      <w:r>
        <w:t xml:space="preserve">Current State of Natural Language to SQL Generation</w:t>
      </w:r>
    </w:p>
    <w:bookmarkStart w:id="44" w:name="evolution-and-technical-advances"/>
    <w:p>
      <w:pPr>
        <w:pStyle w:val="Heading3"/>
      </w:pPr>
      <w:r>
        <w:rPr>
          <w:rStyle w:val="SectionNumber"/>
        </w:rPr>
        <w:t xml:space="preserve">4.1.1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25</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29</w:t>
        </w:r>
      </w:hyperlink>
      <w:r>
        <w:t xml:space="preserve">)</w:t>
      </w:r>
      <w:r>
        <w:t xml:space="preserve">,</w:t>
      </w:r>
      <w:r>
        <w:t xml:space="preserve"> </w:t>
      </w:r>
      <w:r>
        <w:t xml:space="preserve">(</w:t>
      </w:r>
      <w:hyperlink w:anchor="ref-openai2025">
        <w:r>
          <w:rPr>
            <w:rStyle w:val="Hyperlink"/>
          </w:rPr>
          <w:t xml:space="preserve">30</w:t>
        </w:r>
      </w:hyperlink>
      <w:r>
        <w:t xml:space="preserve">)</w:t>
      </w:r>
      <w:r>
        <w:t xml:space="preserve">, though human oversight remains recommended for clinical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31</w:t>
        </w:r>
      </w:hyperlink>
      <w:r>
        <w:t xml:space="preserve">)</w:t>
      </w:r>
      <w:r>
        <w:t xml:space="preserve">,</w:t>
      </w:r>
      <w:r>
        <w:t xml:space="preserve"> </w:t>
      </w:r>
      <w:r>
        <w:t xml:space="preserve">(</w:t>
      </w:r>
      <w:hyperlink w:anchor="ref-wu2024a">
        <w:r>
          <w:rPr>
            <w:rStyle w:val="Hyperlink"/>
          </w:rPr>
          <w:t xml:space="preserve">32</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Evaluations of GPT-4 and Claude 3.5 showed approximately 64-70% accuracy on complex clinical and agent-based tasks; however, late-2025 models demonstrate substantial improvements. GPT-5 achieves over 80% accuracy on neurosurgical board examinations and surpasses physician performance on multimodal medical reasoning benchmarks by 15-29%</w:t>
      </w:r>
      <w:r>
        <w:t xml:space="preserve"> </w:t>
      </w:r>
      <w:r>
        <w:t xml:space="preserve">(</w:t>
      </w:r>
      <w:hyperlink w:anchor="ref-wang2025">
        <w:r>
          <w:rPr>
            <w:rStyle w:val="Hyperlink"/>
          </w:rPr>
          <w:t xml:space="preserve">29</w:t>
        </w:r>
      </w:hyperlink>
      <w:r>
        <w:t xml:space="preserve">)</w:t>
      </w:r>
      <w:r>
        <w:t xml:space="preserve">. On healthcare-specific NL2SQL tasks, GPT-5 achieves 64.6% execution accuracy on the MIMICSQL dataset</w:t>
      </w:r>
      <w:r>
        <w:t xml:space="preserve"> </w:t>
      </w:r>
      <w:r>
        <w:t xml:space="preserve">(</w:t>
      </w:r>
      <w:hyperlink w:anchor="ref-blaskovic2025">
        <w:r>
          <w:rPr>
            <w:rStyle w:val="Hyperlink"/>
          </w:rPr>
          <w:t xml:space="preserve">33</w:t>
        </w:r>
      </w:hyperlink>
      <w:r>
        <w:t xml:space="preserve">)</w:t>
      </w:r>
      <w:r>
        <w:t xml:space="preserve">, while the HealthBench benchmark (developed with 262 physicians across 26 specialties) shows GPT-5 hallucination rates of 0.7-1.0%, representing a 4-6x improvement over previous models</w:t>
      </w:r>
      <w:r>
        <w:t xml:space="preserve"> </w:t>
      </w:r>
      <w:r>
        <w:t xml:space="preserve">(</w:t>
      </w:r>
      <w:hyperlink w:anchor="ref-openai2025">
        <w:r>
          <w:rPr>
            <w:rStyle w:val="Hyperlink"/>
          </w:rPr>
          <w:t xml:space="preserve">30</w:t>
        </w:r>
      </w:hyperlink>
      <w:r>
        <w:t xml:space="preserve">)</w:t>
      </w:r>
      <w:r>
        <w:t xml:space="preserve">.</w:t>
      </w:r>
    </w:p>
    <w:bookmarkEnd w:id="44"/>
    <w:bookmarkStart w:id="45" w:name="healthcare-specific-challenges"/>
    <w:p>
      <w:pPr>
        <w:pStyle w:val="Heading3"/>
      </w:pPr>
      <w:r>
        <w:rPr>
          <w:rStyle w:val="SectionNumber"/>
        </w:rPr>
        <w:t xml:space="preserve">4.1.2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34</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35</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45"/>
    <w:bookmarkStart w:id="46" w:name="promising-approaches-and-limitations"/>
    <w:p>
      <w:pPr>
        <w:pStyle w:val="Heading3"/>
      </w:pPr>
      <w:r>
        <w:rPr>
          <w:rStyle w:val="SectionNumber"/>
        </w:rPr>
        <w:t xml:space="preserve">4.1.3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35</w:t>
        </w:r>
      </w:hyperlink>
      <w:r>
        <w:t xml:space="preserve">)</w:t>
      </w:r>
      <w:r>
        <w:t xml:space="preserve"> </w:t>
      </w:r>
      <w:r>
        <w:t xml:space="preserve">and EHRSQL benchmark</w:t>
      </w:r>
      <w:r>
        <w:t xml:space="preserve"> </w:t>
      </w:r>
      <w:r>
        <w:t xml:space="preserve">(</w:t>
      </w:r>
      <w:hyperlink w:anchor="ref-lee2023">
        <w:r>
          <w:rPr>
            <w:rStyle w:val="Hyperlink"/>
          </w:rPr>
          <w:t xml:space="preserve">36</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37</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31</w:t>
        </w:r>
      </w:hyperlink>
      <w:r>
        <w:t xml:space="preserve">)</w:t>
      </w:r>
      <w:r>
        <w:t xml:space="preserve">,</w:t>
      </w:r>
      <w:r>
        <w:t xml:space="preserve"> </w:t>
      </w:r>
      <w:r>
        <w:t xml:space="preserve">(</w:t>
      </w:r>
      <w:hyperlink w:anchor="ref-wu2024a">
        <w:r>
          <w:rPr>
            <w:rStyle w:val="Hyperlink"/>
          </w:rPr>
          <w:t xml:space="preserve">32</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38</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39</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46"/>
    <w:bookmarkStart w:id="47" w:name="productivity-and-efficiency-evidence"/>
    <w:p>
      <w:pPr>
        <w:pStyle w:val="Heading3"/>
      </w:pPr>
      <w:r>
        <w:rPr>
          <w:rStyle w:val="SectionNumber"/>
        </w:rPr>
        <w:t xml:space="preserve">4.1.4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40</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40</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41</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41</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42</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43</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44</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45</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46</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47</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12</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48</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49</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13</w:t>
        </w:r>
      </w:hyperlink>
      <w:r>
        <w:t xml:space="preserve">)</w:t>
      </w:r>
      <w:r>
        <w:t xml:space="preserve">,</w:t>
      </w:r>
      <w:r>
        <w:t xml:space="preserve"> </w:t>
      </w:r>
      <w:r>
        <w:t xml:space="preserve">(</w:t>
      </w:r>
      <w:hyperlink w:anchor="ref-arora2025">
        <w:r>
          <w:rPr>
            <w:rStyle w:val="Hyperlink"/>
          </w:rPr>
          <w:t xml:space="preserve">14</w:t>
        </w:r>
      </w:hyperlink>
      <w:r>
        <w:t xml:space="preserve">)</w:t>
      </w:r>
      <w:r>
        <w:t xml:space="preserve">, suggesting that organizations investing in either capability simultaneously advance both.</w:t>
      </w:r>
    </w:p>
    <w:bookmarkEnd w:id="47"/>
    <w:bookmarkEnd w:id="48"/>
    <w:bookmarkStart w:id="53" w:name="state-of-healthcare-analytics-maturity"/>
    <w:p>
      <w:pPr>
        <w:pStyle w:val="Heading2"/>
      </w:pPr>
      <w:r>
        <w:rPr>
          <w:rStyle w:val="SectionNumber"/>
        </w:rPr>
        <w:t xml:space="preserve">4.2</w:t>
      </w:r>
      <w:r>
        <w:tab/>
      </w:r>
      <w:r>
        <w:t xml:space="preserve">State of Healthcare Analytics Maturity</w:t>
      </w:r>
    </w:p>
    <w:bookmarkStart w:id="49" w:name="low-organizational-maturity"/>
    <w:p>
      <w:pPr>
        <w:pStyle w:val="Heading3"/>
      </w:pPr>
      <w:r>
        <w:rPr>
          <w:rStyle w:val="SectionNumber"/>
        </w:rPr>
        <w:t xml:space="preserve">4.2.1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50</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51</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51</w:t>
        </w:r>
      </w:hyperlink>
      <w:r>
        <w:t xml:space="preserve">)</w:t>
      </w:r>
      <w:r>
        <w:t xml:space="preserve">,</w:t>
      </w:r>
      <w:r>
        <w:t xml:space="preserve"> </w:t>
      </w:r>
      <w:r>
        <w:t xml:space="preserve">(</w:t>
      </w:r>
      <w:hyperlink w:anchor="ref-wang2017">
        <w:r>
          <w:rPr>
            <w:rStyle w:val="Hyperlink"/>
          </w:rPr>
          <w:t xml:space="preserve">52</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53</w:t>
        </w:r>
      </w:hyperlink>
      <w:r>
        <w:t xml:space="preserve">)</w:t>
      </w:r>
      <w:r>
        <w:t xml:space="preserve">. This shift drove the 2025 validations of Tampa General and CMUH, confirming that AI readiness is the new gatekeeper for analytics maturity.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54</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55</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56</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57</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58</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59</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60</w:t>
        </w:r>
      </w:hyperlink>
      <w:r>
        <w:t xml:space="preserve">)</w:t>
      </w:r>
      <w:r>
        <w:t xml:space="preserve"> </w:t>
      </w:r>
      <w:r>
        <w:t xml:space="preserve">or mortality</w:t>
      </w:r>
      <w:r>
        <w:t xml:space="preserve"> </w:t>
      </w:r>
      <w:r>
        <w:t xml:space="preserve">(</w:t>
      </w:r>
      <w:hyperlink w:anchor="ref-martin2019">
        <w:r>
          <w:rPr>
            <w:rStyle w:val="Hyperlink"/>
          </w:rPr>
          <w:t xml:space="preserve">61</w:t>
        </w:r>
      </w:hyperlink>
      <w:r>
        <w:t xml:space="preserve">)</w:t>
      </w:r>
      <w:r>
        <w:t xml:space="preserve">, suggesting that maturity alone is insufficient without workforce stability.</w:t>
      </w:r>
    </w:p>
    <w:bookmarkEnd w:id="49"/>
    <w:bookmarkStart w:id="50" w:name="barriers-to-analytics-adoption"/>
    <w:p>
      <w:pPr>
        <w:pStyle w:val="Heading3"/>
      </w:pPr>
      <w:r>
        <w:rPr>
          <w:rStyle w:val="SectionNumber"/>
        </w:rPr>
        <w:t xml:space="preserve">4.2.2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62</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63</w:t>
        </w:r>
      </w:hyperlink>
      <w:r>
        <w:t xml:space="preserve">)</w:t>
      </w:r>
      <w:r>
        <w:t xml:space="preserve">, a vendor-produced framework, corroborates these findings, documenting that most healthcare organizations remain at Stages 0-3, characterized by:</w:t>
      </w:r>
    </w:p>
    <w:p>
      <w:pPr>
        <w:pStyle w:val="Compact"/>
        <w:numPr>
          <w:ilvl w:val="0"/>
          <w:numId w:val="1015"/>
        </w:numPr>
      </w:pPr>
      <w:r>
        <w:t xml:space="preserve">Fragmented data sources without integration</w:t>
      </w:r>
    </w:p>
    <w:p>
      <w:pPr>
        <w:pStyle w:val="Compact"/>
        <w:numPr>
          <w:ilvl w:val="0"/>
          <w:numId w:val="1015"/>
        </w:numPr>
      </w:pPr>
      <w:r>
        <w:t xml:space="preserve">Limited automated reporting capabilities</w:t>
      </w:r>
    </w:p>
    <w:p>
      <w:pPr>
        <w:pStyle w:val="Compact"/>
        <w:numPr>
          <w:ilvl w:val="0"/>
          <w:numId w:val="1015"/>
        </w:numPr>
      </w:pPr>
      <w:r>
        <w:t xml:space="preserve">Lack of standardized data governance</w:t>
      </w:r>
    </w:p>
    <w:p>
      <w:pPr>
        <w:pStyle w:val="Compact"/>
        <w:numPr>
          <w:ilvl w:val="0"/>
          <w:numId w:val="1015"/>
        </w:numPr>
      </w:pPr>
      <w:r>
        <w:t xml:space="preserve">Minimal predictive or prescriptive analytics</w:t>
      </w:r>
    </w:p>
    <w:p>
      <w:pPr>
        <w:pStyle w:val="Compact"/>
        <w:numPr>
          <w:ilvl w:val="0"/>
          <w:numId w:val="1015"/>
        </w:numPr>
      </w:pPr>
      <w:r>
        <w:t xml:space="preserve">Absence of real-time decision support</w:t>
      </w:r>
    </w:p>
    <w:bookmarkEnd w:id="50"/>
    <w:bookmarkStart w:id="51" w:name="the-analytics-skills-gap"/>
    <w:p>
      <w:pPr>
        <w:pStyle w:val="Heading3"/>
      </w:pPr>
      <w:r>
        <w:rPr>
          <w:rStyle w:val="SectionNumber"/>
        </w:rPr>
        <w:t xml:space="preserve">4.2.3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34</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64</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65</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51"/>
    <w:bookmarkStart w:id="52" w:name="Xd7b008f104e4adb67a8cd8ff8bcb71d09bb7612"/>
    <w:p>
      <w:pPr>
        <w:pStyle w:val="Heading3"/>
      </w:pPr>
      <w:r>
        <w:rPr>
          <w:rStyle w:val="SectionNumber"/>
        </w:rPr>
        <w:t xml:space="preserve">4.2.4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66</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67</w:t>
        </w:r>
      </w:hyperlink>
      <w:r>
        <w:t xml:space="preserve">,</w:t>
      </w:r>
      <w:hyperlink w:anchor="ref-gokalp2023">
        <w:r>
          <w:rPr>
            <w:rStyle w:val="Hyperlink"/>
          </w:rPr>
          <w:t xml:space="preserve">68</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69</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70</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71</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72</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10</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73</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74</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75</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76</w:t>
        </w:r>
      </w:hyperlink>
      <w:r>
        <w:t xml:space="preserve">,</w:t>
      </w:r>
      <w:hyperlink w:anchor="ref-bokov2017">
        <w:r>
          <w:rPr>
            <w:rStyle w:val="Hyperlink"/>
          </w:rPr>
          <w:t xml:space="preserve">77</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78</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79</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80</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w:t>
      </w:r>
    </w:p>
    <w:bookmarkEnd w:id="52"/>
    <w:bookmarkEnd w:id="53"/>
    <w:bookmarkStart w:id="57" w:name="X033aaa01add75caa19416ed7b909f71ff5bd76d"/>
    <w:p>
      <w:pPr>
        <w:pStyle w:val="Heading2"/>
      </w:pPr>
      <w:r>
        <w:rPr>
          <w:rStyle w:val="SectionNumber"/>
        </w:rPr>
        <w:t xml:space="preserve">4.3</w:t>
      </w:r>
      <w:r>
        <w:tab/>
      </w:r>
      <w:r>
        <w:t xml:space="preserve">Healthcare Workforce Turnover and Knowledge Loss</w:t>
      </w:r>
    </w:p>
    <w:bookmarkStart w:id="54" w:name="turnover-rates-and-financial-impact"/>
    <w:p>
      <w:pPr>
        <w:pStyle w:val="Heading3"/>
      </w:pPr>
      <w:r>
        <w:rPr>
          <w:rStyle w:val="SectionNumber"/>
        </w:rPr>
        <w:t xml:space="preserve">4.3.1</w:t>
      </w:r>
      <w:r>
        <w:tab/>
      </w:r>
      <w:r>
        <w:t xml:space="preserve">Turnover Rates and Financial Impact</w:t>
      </w:r>
    </w:p>
    <w:p>
      <w:pPr>
        <w:pStyle w:val="FirstParagraph"/>
      </w:pPr>
      <w:r>
        <w:t xml:space="preserve">Multiple meta-analyses provide comprehensive data on healthcare workforce turnover. Wu et al.</w:t>
      </w:r>
      <w:r>
        <w:t xml:space="preserve"> </w:t>
      </w:r>
      <w:r>
        <w:t xml:space="preserve">(</w:t>
      </w:r>
      <w:hyperlink w:anchor="ref-wu2024">
        <w:r>
          <w:rPr>
            <w:rStyle w:val="Hyperlink"/>
          </w:rPr>
          <w:t xml:space="preserve">81</w:t>
        </w:r>
      </w:hyperlink>
      <w:r>
        <w:t xml:space="preserve">)</w:t>
      </w:r>
      <w:r>
        <w:t xml:space="preserve"> </w:t>
      </w:r>
      <w:r>
        <w:t xml:space="preserve">found a pooled prevalence of nurse turnover at 18% (95% CI: 11-26%), with individual study rates ranging from 2.2% to 50.0% across 15 countries, including a reported range of 11.7% to 46.7% within the United States. Ren et al.</w:t>
      </w:r>
      <w:r>
        <w:t xml:space="preserve"> </w:t>
      </w:r>
      <w:r>
        <w:t xml:space="preserve">(</w:t>
      </w:r>
      <w:hyperlink w:anchor="ref-ren2024">
        <w:r>
          <w:rPr>
            <w:rStyle w:val="Hyperlink"/>
          </w:rPr>
          <w:t xml:space="preserve">82</w:t>
        </w:r>
      </w:hyperlink>
      <w:r>
        <w:t xml:space="preserve">)</w:t>
      </w:r>
      <w:r>
        <w:t xml:space="preserve"> </w:t>
      </w:r>
      <w:r>
        <w:t xml:space="preserve">corroborated these findings with a global nurse turnover rate ranging from 8% to 36.6%, with a pooled rate of 16% (95% CI: 14-17%).</w:t>
      </w:r>
    </w:p>
    <w:p>
      <w:pPr>
        <w:pStyle w:val="BodyText"/>
      </w:pPr>
      <w:r>
        <w:t xml:space="preserve">The financial implications are substantial. Massingham</w:t>
      </w:r>
      <w:r>
        <w:t xml:space="preserve"> </w:t>
      </w:r>
      <w:r>
        <w:t xml:space="preserve">(</w:t>
      </w:r>
      <w:hyperlink w:anchor="ref-massingham2018">
        <w:r>
          <w:rPr>
            <w:rStyle w:val="Hyperlink"/>
          </w:rPr>
          <w:t xml:space="preserve">83</w:t>
        </w:r>
      </w:hyperlink>
      <w:r>
        <w:t xml:space="preserve">)</w:t>
      </w:r>
      <w:r>
        <w:t xml:space="preserve"> </w:t>
      </w:r>
      <w:r>
        <w:t xml:space="preserve">measured the impact of knowledge loss in a longitudinal study, finding that the total financial cost to address problems caused by knowledge loss reached three times the organization’s annual salary budget, including increased training costs, productivity losses, and project delays. Healthcare-specific evidence quantifies replacement costs in absolute terms: nurse turnover costs 1.2-1.3 times the registered nurse’s annual salary, with the highest cost categories being vacancy, orientation/training, and new employee productivity loss</w:t>
      </w:r>
      <w:r>
        <w:t xml:space="preserve"> </w:t>
      </w:r>
      <w:r>
        <w:t xml:space="preserve">(</w:t>
      </w:r>
      <w:hyperlink w:anchor="ref-jones2005">
        <w:r>
          <w:rPr>
            <w:rStyle w:val="Hyperlink"/>
          </w:rPr>
          <w:t xml:space="preserve">84</w:t>
        </w:r>
      </w:hyperlink>
      <w:r>
        <w:t xml:space="preserve">)</w:t>
      </w:r>
      <w:r>
        <w:t xml:space="preserve">; replacing a primary care clinician costs healthcare organizations over $500,000 due to lost revenue and recruiting expenses</w:t>
      </w:r>
      <w:r>
        <w:t xml:space="preserve"> </w:t>
      </w:r>
      <w:r>
        <w:t xml:space="preserve">(</w:t>
      </w:r>
      <w:hyperlink w:anchor="ref-willardgrace2019">
        <w:r>
          <w:rPr>
            <w:rStyle w:val="Hyperlink"/>
          </w:rPr>
          <w:t xml:space="preserve">85</w:t>
        </w:r>
      </w:hyperlink>
      <w:r>
        <w:t xml:space="preserve">)</w:t>
      </w:r>
      <w:r>
        <w:t xml:space="preserve">; while physician replacement can reach up to $1 million per departure, with national annual costs estimated at $4.6 billion</w:t>
      </w:r>
      <w:r>
        <w:t xml:space="preserve"> </w:t>
      </w:r>
      <w:r>
        <w:t xml:space="preserve">(</w:t>
      </w:r>
      <w:hyperlink w:anchor="ref-melnick2021">
        <w:r>
          <w:rPr>
            <w:rStyle w:val="Hyperlink"/>
          </w:rPr>
          <w:t xml:space="preserve">86</w:t>
        </w:r>
      </w:hyperlink>
      <w:r>
        <w:t xml:space="preserve">)</w:t>
      </w:r>
      <w:r>
        <w:t xml:space="preserve">. Vendor analysis from Oracle</w:t>
      </w:r>
      <w:r>
        <w:t xml:space="preserve"> </w:t>
      </w:r>
      <w:r>
        <w:t xml:space="preserve">(</w:t>
      </w:r>
      <w:hyperlink w:anchor="ref-oracle2024">
        <w:r>
          <w:rPr>
            <w:rStyle w:val="Hyperlink"/>
          </w:rPr>
          <w:t xml:space="preserve">87</w:t>
        </w:r>
      </w:hyperlink>
      <w:r>
        <w:t xml:space="preserve">)</w:t>
      </w:r>
      <w:r>
        <w:t xml:space="preserve"> </w:t>
      </w:r>
      <w:r>
        <w:t xml:space="preserve">corroborates these findings, documenting turnover costs at 0.5-2.0 times annual salary with knowledge-intensive positions reaching the higher end.</w:t>
      </w:r>
    </w:p>
    <w:p>
      <w:pPr>
        <w:pStyle w:val="BodyText"/>
      </w:pPr>
      <w:r>
        <w:t xml:space="preserve">Technical and analytics staff face acute instability that extends beyond general turnover baselines. While hospital-wide data establishes a high churn environment, with 30% of all new hires leaving within their first year</w:t>
      </w:r>
      <w:r>
        <w:t xml:space="preserve"> </w:t>
      </w:r>
      <w:r>
        <w:t xml:space="preserve">(</w:t>
      </w:r>
      <w:hyperlink w:anchor="ref-nsi2025">
        <w:r>
          <w:rPr>
            <w:rStyle w:val="Hyperlink"/>
          </w:rPr>
          <w:t xml:space="preserve">8</w:t>
        </w:r>
      </w:hyperlink>
      <w:r>
        <w:t xml:space="preserve">)</w:t>
      </w:r>
      <w:r>
        <w:t xml:space="preserve">, the crisis in technology roles is distinct and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6</w:t>
        </w:r>
      </w:hyperlink>
      <w:r>
        <w:t xml:space="preserve">)</w:t>
      </w:r>
      <w:r>
        <w:t xml:space="preserve">, creating leadership vacuums that disrupt long-term analytics initiatives. Operationally, this instability is compounded by persistent vacancies, with 79% of providers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7</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Contemporary evidence supports this trend: a 2025 analysis of nationally representative US survey data (n=44,732) found that 55% of public health informatics specialists intended to leave their positions</w:t>
      </w:r>
      <w:r>
        <w:t xml:space="preserve"> </w:t>
      </w:r>
      <w:r>
        <w:t xml:space="preserve">(</w:t>
      </w:r>
      <w:hyperlink w:anchor="ref-rajamani2025">
        <w:r>
          <w:rPr>
            <w:rStyle w:val="Hyperlink"/>
          </w:rPr>
          <w:t xml:space="preserve">16</w:t>
        </w:r>
      </w:hyperlink>
      <w:r>
        <w:t xml:space="preserve">)</w:t>
      </w:r>
      <w:r>
        <w:t xml:space="preserve">.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88</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89</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90</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91</w:t>
        </w:r>
      </w:hyperlink>
      <w:r>
        <w:t xml:space="preserve">)</w:t>
      </w:r>
      <w:r>
        <w:t xml:space="preserve">. Given these relatively short tenures, 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care continuity is well-documented. Clinical handover disruption is internationally recognized as a patient safety priority because it represents a fundamental disruption to continuity of care and is prone to errors</w:t>
      </w:r>
      <w:r>
        <w:t xml:space="preserve"> </w:t>
      </w:r>
      <w:r>
        <w:t xml:space="preserve">(</w:t>
      </w:r>
      <w:hyperlink w:anchor="ref-rangachari2020">
        <w:r>
          <w:rPr>
            <w:rStyle w:val="Hyperlink"/>
          </w:rPr>
          <w:t xml:space="preserve">92</w:t>
        </w:r>
      </w:hyperlink>
      <w:r>
        <w:t xml:space="preserve">)</w:t>
      </w:r>
      <w:r>
        <w:t xml:space="preserve">. Empirical studies demonstrate that nursing unit turnover reduces workgroup learning and is associated with increased patient falls, medication errors, and reduced patient satisfaction</w:t>
      </w:r>
      <w:r>
        <w:t xml:space="preserve"> </w:t>
      </w:r>
      <w:r>
        <w:t xml:space="preserve">(</w:t>
      </w:r>
      <w:hyperlink w:anchor="ref-bae2010">
        <w:r>
          <w:rPr>
            <w:rStyle w:val="Hyperlink"/>
          </w:rPr>
          <w:t xml:space="preserve">93</w:t>
        </w:r>
      </w:hyperlink>
      <w:r>
        <w:t xml:space="preserve">)</w:t>
      </w:r>
      <w:r>
        <w:t xml:space="preserve">. International evidence links high workforce turnover to poorer continuity of care, particularly in remote health services, with measurable outcomes including increased hospitalizations and years of life lost</w:t>
      </w:r>
      <w:r>
        <w:t xml:space="preserve"> </w:t>
      </w:r>
      <w:r>
        <w:t xml:space="preserve">(</w:t>
      </w:r>
      <w:hyperlink w:anchor="ref-wakerman2019">
        <w:r>
          <w:rPr>
            <w:rStyle w:val="Hyperlink"/>
          </w:rPr>
          <w:t xml:space="preserve">94</w:t>
        </w:r>
      </w:hyperlink>
      <w:r>
        <w:t xml:space="preserve">)</w:t>
      </w:r>
      <w:r>
        <w:t xml:space="preserve">. When senior executives and knowledge workers depart, organizations experience</w:t>
      </w:r>
      <w:r>
        <w:t xml:space="preserve"> </w:t>
      </w:r>
      <w:r>
        <w:t xml:space="preserve">“</w:t>
      </w:r>
      <w:r>
        <w:t xml:space="preserve">corporate memory loss</w:t>
      </w:r>
      <w:r>
        <w:t xml:space="preserve">”</w:t>
      </w:r>
      <w:r>
        <w:t xml:space="preserve"> </w:t>
      </w:r>
      <w:r>
        <w:t xml:space="preserve">that undermines organizational continuity and effectiveness</w:t>
      </w:r>
      <w:r>
        <w:t xml:space="preserve"> </w:t>
      </w:r>
      <w:r>
        <w:t xml:space="preserve">(</w:t>
      </w:r>
      <w:hyperlink w:anchor="ref-lahaie2005">
        <w:r>
          <w:rPr>
            <w:rStyle w:val="Hyperlink"/>
          </w:rPr>
          <w:t xml:space="preserve">95</w:t>
        </w:r>
      </w:hyperlink>
      <w:r>
        <w:t xml:space="preserve">)</w:t>
      </w:r>
      <w:r>
        <w:t xml:space="preserve">. Recent analyses applying Root Cause Analysis (RCA) and Six Sigma methodologies to this crisis have confirmed that turnover is not merely an individual HR issue but a systemic failure mode driven by root causes such as burnout, lack of buffering factors, and inefficient onboarding processes</w:t>
      </w:r>
      <w:r>
        <w:t xml:space="preserve"> </w:t>
      </w:r>
      <w:r>
        <w:t xml:space="preserve">(</w:t>
      </w:r>
      <w:hyperlink w:anchor="ref-eriksson2022">
        <w:r>
          <w:rPr>
            <w:rStyle w:val="Hyperlink"/>
          </w:rPr>
          <w:t xml:space="preserve">96</w:t>
        </w:r>
      </w:hyperlink>
      <w:r>
        <w:t xml:space="preserve">–</w:t>
      </w:r>
      <w:hyperlink w:anchor="ref-taner2009">
        <w:r>
          <w:rPr>
            <w:rStyle w:val="Hyperlink"/>
          </w:rPr>
          <w:t xml:space="preserve">98</w:t>
        </w:r>
      </w:hyperlink>
      <w:r>
        <w:t xml:space="preserve">)</w:t>
      </w:r>
      <w:r>
        <w:t xml:space="preserve">.</w:t>
      </w:r>
    </w:p>
    <w:bookmarkEnd w:id="54"/>
    <w:bookmarkStart w:id="55" w:name="institutional-memory-loss"/>
    <w:p>
      <w:pPr>
        <w:pStyle w:val="Heading3"/>
      </w:pPr>
      <w:r>
        <w:rPr>
          <w:rStyle w:val="SectionNumber"/>
        </w:rPr>
        <w:t xml:space="preserve">4.3.2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99</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100</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101</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102</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103</w:t>
        </w:r>
      </w:hyperlink>
      <w:r>
        <w:t xml:space="preserve">)</w:t>
      </w:r>
      <w:r>
        <w:t xml:space="preserve">.</w:t>
      </w:r>
    </w:p>
    <w:bookmarkEnd w:id="55"/>
    <w:bookmarkStart w:id="56" w:name="inadequacy-of-traditional-approaches"/>
    <w:p>
      <w:pPr>
        <w:pStyle w:val="Heading3"/>
      </w:pPr>
      <w:r>
        <w:rPr>
          <w:rStyle w:val="SectionNumber"/>
        </w:rPr>
        <w:t xml:space="preserve">4.3.3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mayo2016">
        <w:r>
          <w:rPr>
            <w:rStyle w:val="Hyperlink"/>
          </w:rPr>
          <w:t xml:space="preserve">99</w:t>
        </w:r>
      </w:hyperlink>
      <w:r>
        <w:t xml:space="preserve">,</w:t>
      </w:r>
      <w:hyperlink w:anchor="ref-shahbaz2019">
        <w:r>
          <w:rPr>
            <w:rStyle w:val="Hyperlink"/>
          </w:rPr>
          <w:t xml:space="preserve">104</w:t>
        </w:r>
      </w:hyperlink>
      <w:r>
        <w:t xml:space="preserve">)</w:t>
      </w:r>
      <w:r>
        <w:t xml:space="preserve">:</w:t>
      </w:r>
    </w:p>
    <w:p>
      <w:pPr>
        <w:pStyle w:val="Compact"/>
        <w:numPr>
          <w:ilvl w:val="0"/>
          <w:numId w:val="1016"/>
        </w:numPr>
      </w:pPr>
      <w:r>
        <w:t xml:space="preserve">Traditional knowledge transfer mechanisms show limited effectiveness</w:t>
      </w:r>
    </w:p>
    <w:p>
      <w:pPr>
        <w:pStyle w:val="Compact"/>
        <w:numPr>
          <w:ilvl w:val="0"/>
          <w:numId w:val="1016"/>
        </w:numPr>
      </w:pPr>
      <w:r>
        <w:t xml:space="preserve">Organizations struggle to capture and maintain analytical expertise</w:t>
      </w:r>
    </w:p>
    <w:p>
      <w:pPr>
        <w:pStyle w:val="Compact"/>
        <w:numPr>
          <w:ilvl w:val="0"/>
          <w:numId w:val="1016"/>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104</w:t>
        </w:r>
      </w:hyperlink>
      <w:r>
        <w:t xml:space="preserve">)</w:t>
      </w:r>
    </w:p>
    <w:p>
      <w:pPr>
        <w:pStyle w:val="Compact"/>
        <w:numPr>
          <w:ilvl w:val="0"/>
          <w:numId w:val="1016"/>
        </w:numPr>
      </w:pPr>
      <w:r>
        <w:t xml:space="preserve">Person-to-person knowledge transfer fails during rapid turnover cycles</w:t>
      </w:r>
    </w:p>
    <w:bookmarkEnd w:id="56"/>
    <w:bookmarkEnd w:id="57"/>
    <w:bookmarkStart w:id="61" w:name="Xca10dac733c4b284609ad3ca0d26f7400b78729"/>
    <w:p>
      <w:pPr>
        <w:pStyle w:val="Heading2"/>
      </w:pPr>
      <w:r>
        <w:rPr>
          <w:rStyle w:val="SectionNumber"/>
        </w:rPr>
        <w:t xml:space="preserve">4.4</w:t>
      </w:r>
      <w:r>
        <w:tab/>
      </w:r>
      <w:r>
        <w:t xml:space="preserve">Integration of Evidence: Synthesis Across Three Pillars</w:t>
      </w:r>
    </w:p>
    <w:bookmarkStart w:id="58" w:name="bridging-technical-and-domain-expertise"/>
    <w:p>
      <w:pPr>
        <w:pStyle w:val="Heading3"/>
      </w:pPr>
      <w:r>
        <w:rPr>
          <w:rStyle w:val="SectionNumber"/>
        </w:rPr>
        <w:t xml:space="preserve">4.4.1</w:t>
      </w:r>
      <w:r>
        <w:tab/>
      </w:r>
      <w:r>
        <w:t xml:space="preserve">Bridging Technical and Domain Expertise</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from these three domains reveals compounding effects that the three-pillar framework synthesizes. Natural language interfaces directly address the technical barriers identified in the literature by eliminating the need for SQL expertise while preserving the sophisticated query capabilities required for healthcare data.</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63</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105</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105</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106</w:t>
        </w:r>
      </w:hyperlink>
      <w:r>
        <w:t xml:space="preserve">,</w:t>
      </w:r>
      <w:hyperlink w:anchor="ref-ruoff2023">
        <w:r>
          <w:rPr>
            <w:rStyle w:val="Hyperlink"/>
          </w:rPr>
          <w:t xml:space="preserve">107</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108</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109</w:t>
        </w:r>
      </w:hyperlink>
      <w:r>
        <w:t xml:space="preserve">)</w:t>
      </w:r>
      <w:r>
        <w:t xml:space="preserve">.</w:t>
      </w:r>
    </w:p>
    <w:p>
      <w:pPr>
        <w:pStyle w:val="BodyText"/>
      </w:pPr>
      <w:r>
        <w:t xml:space="preserve">Low-code platforms and conversational AI represent complementary approaches to reducing technical barriers in healthcare analytics.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 both accelerate development cycles by abstracting technical complexity,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bookmarkEnd w:id="58"/>
    <w:bookmarkStart w:id="59" w:name="Xc272885ef3cb2467680850506ab8b3231a25658"/>
    <w:p>
      <w:pPr>
        <w:pStyle w:val="Heading3"/>
      </w:pPr>
      <w:r>
        <w:rPr>
          <w:rStyle w:val="SectionNumber"/>
        </w:rPr>
        <w:t xml:space="preserve">4.4.2</w:t>
      </w:r>
      <w:r>
        <w:tab/>
      </w:r>
      <w:r>
        <w:t xml:space="preserve">Knowledge Preservation Through Embedded Systems</w:t>
      </w:r>
    </w:p>
    <w:p>
      <w:pPr>
        <w:pStyle w:val="FirstParagraph"/>
      </w:pPr>
      <w:r>
        <w:t xml:space="preserve">The literature suggests that effective knowledge preservation requires active, embedded systems rather than passive documentation. When organizations choose to implement AI-based platforms, these can serve as organizational memory systems by:</w:t>
      </w:r>
    </w:p>
    <w:p>
      <w:pPr>
        <w:pStyle w:val="Compact"/>
        <w:numPr>
          <w:ilvl w:val="0"/>
          <w:numId w:val="1017"/>
        </w:numPr>
      </w:pPr>
      <w:r>
        <w:t xml:space="preserve">Capturing decision-making patterns through usage</w:t>
      </w:r>
    </w:p>
    <w:p>
      <w:pPr>
        <w:pStyle w:val="Compact"/>
        <w:numPr>
          <w:ilvl w:val="0"/>
          <w:numId w:val="1017"/>
        </w:numPr>
      </w:pPr>
      <w:r>
        <w:t xml:space="preserve">Encoding best practices in accessible formats</w:t>
      </w:r>
    </w:p>
    <w:p>
      <w:pPr>
        <w:pStyle w:val="Compact"/>
        <w:numPr>
          <w:ilvl w:val="0"/>
          <w:numId w:val="1017"/>
        </w:numPr>
      </w:pPr>
      <w:r>
        <w:t xml:space="preserve">Providing context-aware guidance to new users</w:t>
      </w:r>
    </w:p>
    <w:p>
      <w:pPr>
        <w:pStyle w:val="Compact"/>
        <w:numPr>
          <w:ilvl w:val="0"/>
          <w:numId w:val="1017"/>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p>
    <w:bookmarkEnd w:id="59"/>
    <w:bookmarkStart w:id="60" w:name="X33defb0ba4308c2b324fedd90e429c7c8fc7e98"/>
    <w:p>
      <w:pPr>
        <w:pStyle w:val="Heading3"/>
      </w:pPr>
      <w:r>
        <w:rPr>
          <w:rStyle w:val="SectionNumber"/>
        </w:rPr>
        <w:t xml:space="preserve">4.4.3</w:t>
      </w:r>
      <w:r>
        <w:tab/>
      </w:r>
      <w:r>
        <w:t xml:space="preserve">Empirical Support for Barrier-Reducing Technologies</w:t>
      </w:r>
    </w:p>
    <w:p>
      <w:pPr>
        <w:pStyle w:val="FirstParagraph"/>
      </w:pPr>
      <w:r>
        <w:t xml:space="preserve">Academic research provides growing evidence for both conversational AI and low-code approaches in healthcare, technologies that share the goal of reducing technical barriers to data-driven decision making. A foundational systematic review of AI conversational agents in healthcare</w:t>
      </w:r>
      <w:r>
        <w:t xml:space="preserve"> </w:t>
      </w:r>
      <w:r>
        <w:t xml:space="preserve">(</w:t>
      </w:r>
      <w:hyperlink w:anchor="ref-milneives2020">
        <w:r>
          <w:rPr>
            <w:rStyle w:val="Hyperlink"/>
          </w:rPr>
          <w:t xml:space="preserve">110</w:t>
        </w:r>
      </w:hyperlink>
      <w:r>
        <w:t xml:space="preserve">)</w:t>
      </w:r>
      <w:r>
        <w:t xml:space="preserve"> </w:t>
      </w:r>
      <w:r>
        <w:t xml:space="preserve">established that such systems reduce burden on healthcare resources and save providers’ time, though the review identified a need for more rigorous quantitative validation. Subsequent RCT-based systematic reviews provide this evidence: a meta-analysis of conversational agent interventions reported mean task completion rates of 83% (range 40-100%) across healthcare applications</w:t>
      </w:r>
      <w:r>
        <w:t xml:space="preserve"> </w:t>
      </w:r>
      <w:r>
        <w:t xml:space="preserve">(</w:t>
      </w:r>
      <w:hyperlink w:anchor="ref-li2023">
        <w:r>
          <w:rPr>
            <w:rStyle w:val="Hyperlink"/>
          </w:rPr>
          <w:t xml:space="preserve">111</w:t>
        </w:r>
      </w:hyperlink>
      <w:r>
        <w:t xml:space="preserve">)</w:t>
      </w:r>
      <w:r>
        <w:t xml:space="preserve">. Real-world validation at scale comes from a study of conversational AI across nine NHS mental health services involving 64,862 patients, demonstrating reduced clinician assessment time, shorter patient wait times, and lower dropout rates</w:t>
      </w:r>
      <w:r>
        <w:t xml:space="preserve"> </w:t>
      </w:r>
      <w:r>
        <w:t xml:space="preserve">(</w:t>
      </w:r>
      <w:hyperlink w:anchor="ref-rollwage2023">
        <w:r>
          <w:rPr>
            <w:rStyle w:val="Hyperlink"/>
          </w:rPr>
          <w:t xml:space="preserve">112</w:t>
        </w:r>
      </w:hyperlink>
      <w:r>
        <w:t xml:space="preserve">)</w:t>
      </w:r>
      <w:r>
        <w:t xml:space="preserve">. On the clinical AI side, Sezgin et al.</w:t>
      </w:r>
      <w:r>
        <w:t xml:space="preserve"> </w:t>
      </w:r>
      <w:r>
        <w:t xml:space="preserve">(</w:t>
      </w:r>
      <w:hyperlink w:anchor="ref-sezgin2022">
        <w:r>
          <w:rPr>
            <w:rStyle w:val="Hyperlink"/>
          </w:rPr>
          <w:t xml:space="preserve">113</w:t>
        </w:r>
      </w:hyperlink>
      <w:r>
        <w:t xml:space="preserve">)</w:t>
      </w:r>
      <w:r>
        <w:t xml:space="preserve"> </w:t>
      </w:r>
      <w:r>
        <w:t xml:space="preserve">demonstrated that GPT-3-powered chatbots can reduce overhead at clinics, while Jiao et al.</w:t>
      </w:r>
      <w:r>
        <w:t xml:space="preserve"> </w:t>
      </w:r>
      <w:r>
        <w:t xml:space="preserve">(</w:t>
      </w:r>
      <w:hyperlink w:anchor="ref-jiao2023">
        <w:r>
          <w:rPr>
            <w:rStyle w:val="Hyperlink"/>
          </w:rPr>
          <w:t xml:space="preserve">114</w:t>
        </w:r>
      </w:hyperlink>
      <w:r>
        <w:t xml:space="preserve">)</w:t>
      </w:r>
      <w:r>
        <w:t xml:space="preserve"> </w:t>
      </w:r>
      <w:r>
        <w:t xml:space="preserve">found AI adoption leads to cost savings through improved service delivery and shorter hospitalization lengths. Dai and Abramoff</w:t>
      </w:r>
      <w:r>
        <w:t xml:space="preserve"> </w:t>
      </w:r>
      <w:r>
        <w:t xml:space="preserve">(</w:t>
      </w:r>
      <w:hyperlink w:anchor="ref-dai2023">
        <w:r>
          <w:rPr>
            <w:rStyle w:val="Hyperlink"/>
          </w:rPr>
          <w:t xml:space="preserve">115</w:t>
        </w:r>
      </w:hyperlink>
      <w:r>
        <w:t xml:space="preserve">)</w:t>
      </w:r>
      <w:r>
        <w:t xml:space="preserve"> </w:t>
      </w:r>
      <w:r>
        <w:t xml:space="preserve">explain that AI generates predictions affordably, enabling earlier care that potentially prevents costly interventions.</w:t>
      </w:r>
    </w:p>
    <w:p>
      <w:pPr>
        <w:pStyle w:val="BodyText"/>
      </w:pPr>
      <w:r>
        <w:t xml:space="preserve">Low-code implementations provide parallel evidence for the benefits of barrier reduction. Berkshire Healthcare NHS Trust</w:t>
      </w:r>
      <w:r>
        <w:t xml:space="preserve"> </w:t>
      </w:r>
      <w:r>
        <w:t xml:space="preserve">(</w:t>
      </w:r>
      <w:hyperlink w:anchor="ref-berkshire2024">
        <w:r>
          <w:rPr>
            <w:rStyle w:val="Hyperlink"/>
          </w:rPr>
          <w:t xml:space="preserve">116</w:t>
        </w:r>
      </w:hyperlink>
      <w:r>
        <w:t xml:space="preserve">)</w:t>
      </w:r>
      <w:r>
        <w:t xml:space="preserve"> </w:t>
      </w:r>
      <w:r>
        <w:t xml:space="preserve">reports over 1,600 individuals creating solutions using Microsoft Power Platform. The NHS program demonstrates that healthcare professionals without IT expertise can use low-code tools to create custom solutions and apps, streamlining operations and enabling data-driven decisions. This evidence supports the broader principle that reducing technical barriers, whether through visual development or natural language interfaces, enables healthcare domain experts to leverage data directly. A systematic literature review of 17 peer-reviewed papers identified cost and time minimization as the most frequently discussed benefits of low-code development, with healthcare among the primary implementation domains</w:t>
      </w:r>
      <w:r>
        <w:t xml:space="preserve"> </w:t>
      </w:r>
      <w:r>
        <w:t xml:space="preserve">(</w:t>
      </w:r>
      <w:hyperlink w:anchor="ref-elkamouchi2023">
        <w:r>
          <w:rPr>
            <w:rStyle w:val="Hyperlink"/>
          </w:rPr>
          <w:t xml:space="preserve">117</w:t>
        </w:r>
      </w:hyperlink>
      <w:r>
        <w:t xml:space="preserve">)</w:t>
      </w:r>
      <w:r>
        <w:t xml:space="preserve">. Controlled experiments quantify these benefits: a comparative study of traditional versus low-code development for a healthcare cognitive rehabilitation system found low-code required 47.5 hours versus 888 hours for traditional development, representing a 94.63% reduction in effort</w:t>
      </w:r>
      <w:r>
        <w:t xml:space="preserve"> </w:t>
      </w:r>
      <w:r>
        <w:t xml:space="preserve">(</w:t>
      </w:r>
      <w:hyperlink w:anchor="ref-aveiro2023">
        <w:r>
          <w:rPr>
            <w:rStyle w:val="Hyperlink"/>
          </w:rPr>
          <w:t xml:space="preserve">118</w:t>
        </w:r>
      </w:hyperlink>
      <w:r>
        <w:t xml:space="preserve">)</w:t>
      </w:r>
      <w:r>
        <w:t xml:space="preserve">. Industry-sponsored research from Forrester</w:t>
      </w:r>
      <w:r>
        <w:t xml:space="preserve"> </w:t>
      </w:r>
      <w:r>
        <w:t xml:space="preserve">(</w:t>
      </w:r>
      <w:hyperlink w:anchor="ref-forrester2024">
        <w:r>
          <w:rPr>
            <w:rStyle w:val="Hyperlink"/>
          </w:rPr>
          <w:t xml:space="preserve">119</w:t>
        </w:r>
      </w:hyperlink>
      <w:r>
        <w:t xml:space="preserve">)</w:t>
      </w:r>
      <w:r>
        <w:t xml:space="preserve"> </w:t>
      </w:r>
      <w:r>
        <w:t xml:space="preserve">projects 206% three-year ROI from low-code implementations; peer-reviewed studies report similar findings, with healthcare institutions achieving 177% ROI over 36 months while reducing development time by 67% and technical resource requirements by 58%</w:t>
      </w:r>
      <w:r>
        <w:t xml:space="preserve"> </w:t>
      </w:r>
      <w:r>
        <w:t xml:space="preserve">(</w:t>
      </w:r>
      <w:hyperlink w:anchor="ref-mogili2025">
        <w:r>
          <w:rPr>
            <w:rStyle w:val="Hyperlink"/>
          </w:rPr>
          <w:t xml:space="preserve">120</w:t>
        </w:r>
      </w:hyperlink>
      <w:r>
        <w:t xml:space="preserve">)</w:t>
      </w:r>
      <w:r>
        <w:t xml:space="preserve">, and small healthcare clinics achieving 250% cumulative ROI over three years</w:t>
      </w:r>
      <w:r>
        <w:t xml:space="preserve"> </w:t>
      </w:r>
      <w:r>
        <w:t xml:space="preserve">(</w:t>
      </w:r>
      <w:hyperlink w:anchor="ref-pervaiz2025">
        <w:r>
          <w:rPr>
            <w:rStyle w:val="Hyperlink"/>
          </w:rPr>
          <w:t xml:space="preserve">121</w:t>
        </w:r>
      </w:hyperlink>
      <w:r>
        <w:t xml:space="preserve">)</w:t>
      </w:r>
      <w:r>
        <w:t xml:space="preserve">.</w:t>
      </w:r>
    </w:p>
    <w:p>
      <w:pPr>
        <w:pStyle w:val="BodyText"/>
      </w:pPr>
      <w:r>
        <w:t xml:space="preserve">However, the rapid ROI of low-code adoption is balanced by significant long-term maintenance and security risks. Citizen developers often prioritize feature delivery over security, while IT analysts must manage the resulting</w:t>
      </w:r>
      <w:r>
        <w:t xml:space="preserve"> </w:t>
      </w:r>
      <w:r>
        <w:t xml:space="preserve">“</w:t>
      </w:r>
      <w:r>
        <w:t xml:space="preserve">leaks, hacks, and ransomware</w:t>
      </w:r>
      <w:r>
        <w:t xml:space="preserve">”</w:t>
      </w:r>
      <w:r>
        <w:t xml:space="preserve"> </w:t>
      </w:r>
      <w:r>
        <w:t xml:space="preserve">risks</w:t>
      </w:r>
      <w:r>
        <w:t xml:space="preserve"> </w:t>
      </w:r>
      <w:r>
        <w:t xml:space="preserve">(</w:t>
      </w:r>
      <w:hyperlink w:anchor="ref-simon2022">
        <w:r>
          <w:rPr>
            <w:rStyle w:val="Hyperlink"/>
          </w:rPr>
          <w:t xml:space="preserve">122</w:t>
        </w:r>
      </w:hyperlink>
      <w:r>
        <w:t xml:space="preserve">)</w:t>
      </w:r>
      <w:r>
        <w:t xml:space="preserve">. Systematic reviews identify critical vulnerabilities in low-code platforms, including code injection, insecure APIs, and cross-site scripting (XSS), frequently exacerbated by amateur developers lacking secure coding knowledge</w:t>
      </w:r>
      <w:r>
        <w:t xml:space="preserve"> </w:t>
      </w:r>
      <w:r>
        <w:t xml:space="preserve">(</w:t>
      </w:r>
      <w:hyperlink w:anchor="ref-hathnagoda2024">
        <w:r>
          <w:rPr>
            <w:rStyle w:val="Hyperlink"/>
          </w:rPr>
          <w:t xml:space="preserve">123</w:t>
        </w:r>
      </w:hyperlink>
      <w:r>
        <w:t xml:space="preserve">)</w:t>
      </w:r>
      <w:r>
        <w:t xml:space="preserve">. Furthermore, the adoption of these platforms can lead to the accumulation of technical debt, where novice-developed applications require extensive optimization and maintenance as they scale</w:t>
      </w:r>
      <w:r>
        <w:t xml:space="preserve"> </w:t>
      </w:r>
      <w:r>
        <w:t xml:space="preserve">(</w:t>
      </w:r>
      <w:hyperlink w:anchor="ref-viljoen2024">
        <w:r>
          <w:rPr>
            <w:rStyle w:val="Hyperlink"/>
          </w:rPr>
          <w:t xml:space="preserve">124</w:t>
        </w:r>
      </w:hyperlink>
      <w:r>
        <w:t xml:space="preserve">)</w:t>
      </w:r>
      <w:r>
        <w:t xml:space="preserve">. Operational phase challenges include the</w:t>
      </w:r>
      <w:r>
        <w:t xml:space="preserve"> </w:t>
      </w:r>
      <w:r>
        <w:t xml:space="preserve">“</w:t>
      </w:r>
      <w:r>
        <w:t xml:space="preserve">turnover of citizen developers,</w:t>
      </w:r>
      <w:r>
        <w:t xml:space="preserve">”</w:t>
      </w:r>
      <w:r>
        <w:t xml:space="preserve"> </w:t>
      </w:r>
      <w:r>
        <w:t xml:space="preserve">where the original author of a business-critical app leaves the organization, creating an institutional memory void similar to the one identified in traditional analytics</w:t>
      </w:r>
      <w:r>
        <w:t xml:space="preserve"> </w:t>
      </w:r>
      <w:r>
        <w:t xml:space="preserve">(</w:t>
      </w:r>
      <w:hyperlink w:anchor="ref-miyake2023">
        <w:r>
          <w:rPr>
            <w:rStyle w:val="Hyperlink"/>
          </w:rPr>
          <w:t xml:space="preserve">125</w:t>
        </w:r>
      </w:hyperlink>
      <w:r>
        <w:t xml:space="preserve">)</w:t>
      </w:r>
      <w:r>
        <w:t xml:space="preserve">. Healthcare compliance frameworks for low-code thus require intensive, ongoing monitoring of security controls and data integrity measures</w:t>
      </w:r>
      <w:r>
        <w:t xml:space="preserve"> </w:t>
      </w:r>
      <w:r>
        <w:t xml:space="preserve">(</w:t>
      </w:r>
      <w:hyperlink w:anchor="ref-potharalanka2025">
        <w:r>
          <w:rPr>
            <w:rStyle w:val="Hyperlink"/>
          </w:rPr>
          <w:t xml:space="preserve">126</w:t>
        </w:r>
      </w:hyperlink>
      <w:r>
        <w:t xml:space="preserve">)</w:t>
      </w:r>
      <w:r>
        <w:t xml:space="preserve">.</w:t>
      </w:r>
    </w:p>
    <w:p>
      <w:pPr>
        <w:pStyle w:val="BodyText"/>
      </w:pPr>
      <w:r>
        <w:t xml:space="preserve">Healthcare-specific studies show concrete benefits across both approaches: Pennington</w:t>
      </w:r>
      <w:r>
        <w:t xml:space="preserve"> </w:t>
      </w:r>
      <w:r>
        <w:t xml:space="preserve">(</w:t>
      </w:r>
      <w:hyperlink w:anchor="ref-pennington2023">
        <w:r>
          <w:rPr>
            <w:rStyle w:val="Hyperlink"/>
          </w:rPr>
          <w:t xml:space="preserve">127</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128</w:t>
        </w:r>
      </w:hyperlink>
      <w:r>
        <w:t xml:space="preserve">)</w:t>
      </w:r>
      <w:r>
        <w:t xml:space="preserve"> </w:t>
      </w:r>
      <w:r>
        <w:t xml:space="preserve">documented how low-code platforms enable non-technical staff to build applications, leading to efficiency gains. Rapid application development using low-code characteristics enabled an mHealth app for COVID-19 remote care that saved 2,822 hospital bed-days for 400 enrolled patients</w:t>
      </w:r>
      <w:r>
        <w:t xml:space="preserve"> </w:t>
      </w:r>
      <w:r>
        <w:t xml:space="preserve">(</w:t>
      </w:r>
      <w:hyperlink w:anchor="ref-tan2023">
        <w:r>
          <w:rPr>
            <w:rStyle w:val="Hyperlink"/>
          </w:rPr>
          <w:t xml:space="preserve">129</w:t>
        </w:r>
      </w:hyperlink>
      <w:r>
        <w:t xml:space="preserve">)</w:t>
      </w:r>
      <w:r>
        <w:t xml:space="preserve">. These findings collectively demonstrate that technologies enabling non-technical users to interact with complex systems, whether through visual interfaces or natural language, produce measurable organizational benefits.</w:t>
      </w:r>
    </w:p>
    <w:bookmarkEnd w:id="60"/>
    <w:bookmarkEnd w:id="61"/>
    <w:bookmarkStart w:id="65" w:name="Xe532debb859e62ad2038db373f15ff8608a8c3a"/>
    <w:p>
      <w:pPr>
        <w:pStyle w:val="Heading2"/>
      </w:pPr>
      <w:r>
        <w:rPr>
          <w:rStyle w:val="SectionNumber"/>
        </w:rPr>
        <w:t xml:space="preserve">4.5</w:t>
      </w:r>
      <w:r>
        <w:tab/>
      </w:r>
      <w:r>
        <w:t xml:space="preserve">Implications for Healthcare Organizations</w:t>
      </w:r>
    </w:p>
    <w:bookmarkStart w:id="62" w:name="Xda31a2d9f3faedf8d0d62ee49f3838d0ae1b3c5"/>
    <w:p>
      <w:pPr>
        <w:pStyle w:val="Heading3"/>
      </w:pPr>
      <w:r>
        <w:rPr>
          <w:rStyle w:val="SectionNumber"/>
        </w:rPr>
        <w:t xml:space="preserve">4.5.1</w:t>
      </w:r>
      <w:r>
        <w:tab/>
      </w:r>
      <w:r>
        <w:t xml:space="preserve">Framework Alignment with Industry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2"/>
    <w:bookmarkStart w:id="63" w:name="Xed5de637fc9df73f884d83cf394765ecb53834c"/>
    <w:p>
      <w:pPr>
        <w:pStyle w:val="Heading3"/>
      </w:pPr>
      <w:r>
        <w:rPr>
          <w:rStyle w:val="SectionNumber"/>
        </w:rPr>
        <w:t xml:space="preserve">4.5.2</w:t>
      </w:r>
      <w:r>
        <w:tab/>
      </w:r>
      <w:r>
        <w:t xml:space="preserve">ROI Evidence Across Barrier-Reducing Approaches</w:t>
      </w:r>
    </w:p>
    <w:p>
      <w:pPr>
        <w:pStyle w:val="FirstParagraph"/>
      </w:pPr>
      <w:r>
        <w:t xml:space="preserve">Academic research documents multiple pathways to ROI for barrier-reducing technologies in healthcare. Conversational AI implementations show direct benefits: Jiao et al.</w:t>
      </w:r>
      <w:r>
        <w:t xml:space="preserve"> </w:t>
      </w:r>
      <w:r>
        <w:t xml:space="preserve">(</w:t>
      </w:r>
      <w:hyperlink w:anchor="ref-jiao2023">
        <w:r>
          <w:rPr>
            <w:rStyle w:val="Hyperlink"/>
          </w:rPr>
          <w:t xml:space="preserve">114</w:t>
        </w:r>
      </w:hyperlink>
      <w:r>
        <w:t xml:space="preserve">)</w:t>
      </w:r>
      <w:r>
        <w:t xml:space="preserve"> </w:t>
      </w:r>
      <w:r>
        <w:t xml:space="preserve">found that AI-driven efficiency gains, including shorter hospitalization lengths, translate into financial and operational benefits for healthcare providers; Pennington</w:t>
      </w:r>
      <w:r>
        <w:t xml:space="preserve"> </w:t>
      </w:r>
      <w:r>
        <w:t xml:space="preserve">(</w:t>
      </w:r>
      <w:hyperlink w:anchor="ref-pennington2023">
        <w:r>
          <w:rPr>
            <w:rStyle w:val="Hyperlink"/>
          </w:rPr>
          <w:t xml:space="preserve">127</w:t>
        </w:r>
      </w:hyperlink>
      <w:r>
        <w:t xml:space="preserve">)</w:t>
      </w:r>
      <w:r>
        <w:t xml:space="preserve"> </w:t>
      </w:r>
      <w:r>
        <w:t xml:space="preserve">documented that AI in revenue cycle management accelerated payment cycles from 90 to 40 days, improving cash flow; and Sezgin et al.</w:t>
      </w:r>
      <w:r>
        <w:t xml:space="preserve"> </w:t>
      </w:r>
      <w:r>
        <w:t xml:space="preserve">(</w:t>
      </w:r>
      <w:hyperlink w:anchor="ref-sezgin2022">
        <w:r>
          <w:rPr>
            <w:rStyle w:val="Hyperlink"/>
          </w:rPr>
          <w:t xml:space="preserve">113</w:t>
        </w:r>
      </w:hyperlink>
      <w:r>
        <w:t xml:space="preserve">)</w:t>
      </w:r>
      <w:r>
        <w:t xml:space="preserve"> </w:t>
      </w:r>
      <w:r>
        <w:t xml:space="preserve">proposed chatbot implementations that reduce clinic overhead.</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119</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117</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120</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121</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130</w:t>
        </w:r>
      </w:hyperlink>
      <w:r>
        <w:t xml:space="preserve">)</w:t>
      </w:r>
      <w:r>
        <w:t xml:space="preserve"> </w:t>
      </w:r>
      <w:r>
        <w:t xml:space="preserve">projects the healthcare analytics market to grow from $64.49 billion in 2025 to $369.66 billion by 2034 (21.41% CAGR).</w:t>
      </w:r>
    </w:p>
    <w:bookmarkEnd w:id="63"/>
    <w:bookmarkStart w:id="64" w:name="knowledge-preservation-as-risk-factor"/>
    <w:p>
      <w:pPr>
        <w:pStyle w:val="Heading3"/>
      </w:pPr>
      <w:r>
        <w:rPr>
          <w:rStyle w:val="SectionNumber"/>
        </w:rPr>
        <w:t xml:space="preserve">4.5.3</w:t>
      </w:r>
      <w:r>
        <w:tab/>
      </w:r>
      <w:r>
        <w:t xml:space="preserve">Knowledge Preservation as Risk Factor</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131</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132</w:t>
        </w:r>
      </w:hyperlink>
      <w:r>
        <w:t xml:space="preserve">)</w:t>
      </w:r>
      <w:r>
        <w:t xml:space="preserve">. This theoretical foundation supports embedding organizational knowledge in systems rather than individuals, ensuring continuity despite workforce turnover.</w:t>
      </w:r>
    </w:p>
    <w:bookmarkEnd w:id="64"/>
    <w:bookmarkEnd w:id="65"/>
    <w:bookmarkStart w:id="66"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8"/>
        </w:numPr>
      </w:pPr>
      <w:r>
        <w:rPr>
          <w:b/>
          <w:bCs/>
        </w:rPr>
        <w:t xml:space="preserve">Long-term outcomes</w:t>
      </w:r>
      <w:r>
        <w:t xml:space="preserve">: Most studies examine 6-24 month implementations; multi-year impacts remain understudied</w:t>
      </w:r>
    </w:p>
    <w:p>
      <w:pPr>
        <w:pStyle w:val="Compact"/>
        <w:numPr>
          <w:ilvl w:val="0"/>
          <w:numId w:val="1018"/>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8"/>
        </w:numPr>
      </w:pPr>
      <w:r>
        <w:rPr>
          <w:b/>
          <w:bCs/>
        </w:rPr>
        <w:t xml:space="preserve">Governance frameworks</w:t>
      </w:r>
      <w:r>
        <w:t xml:space="preserve">: Limited research on optimal governance models for democratized analytics</w:t>
      </w:r>
    </w:p>
    <w:p>
      <w:pPr>
        <w:pStyle w:val="Compact"/>
        <w:numPr>
          <w:ilvl w:val="0"/>
          <w:numId w:val="1018"/>
        </w:numPr>
      </w:pPr>
      <w:r>
        <w:rPr>
          <w:b/>
          <w:bCs/>
        </w:rPr>
        <w:t xml:space="preserve">Training methodologies</w:t>
      </w:r>
      <w:r>
        <w:t xml:space="preserve">: Best practices for transitioning from traditional to conversational analytics lack empirical validation</w:t>
      </w:r>
    </w:p>
    <w:p>
      <w:pPr>
        <w:pStyle w:val="Compact"/>
        <w:numPr>
          <w:ilvl w:val="0"/>
          <w:numId w:val="1018"/>
        </w:numPr>
      </w:pPr>
      <w:r>
        <w:rPr>
          <w:b/>
          <w:bCs/>
        </w:rPr>
        <w:t xml:space="preserve">Integration patterns</w:t>
      </w:r>
      <w:r>
        <w:t xml:space="preserve">: Architectural guidance for incorporating conversational AI into existing healthcare IT ecosystems remains sparse</w:t>
      </w:r>
    </w:p>
    <w:p>
      <w:pPr>
        <w:pStyle w:val="Compact"/>
        <w:numPr>
          <w:ilvl w:val="0"/>
          <w:numId w:val="1018"/>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41</w:t>
        </w:r>
      </w:hyperlink>
      <w:r>
        <w:t xml:space="preserve">)</w:t>
      </w:r>
      <w:r>
        <w:t xml:space="preserve">,</w:t>
      </w:r>
      <w:r>
        <w:t xml:space="preserve"> </w:t>
      </w:r>
      <w:r>
        <w:t xml:space="preserve">(</w:t>
      </w:r>
      <w:hyperlink w:anchor="ref-dadi2025">
        <w:r>
          <w:rPr>
            <w:rStyle w:val="Hyperlink"/>
          </w:rPr>
          <w:t xml:space="preserve">40</w:t>
        </w:r>
      </w:hyperlink>
      <w:r>
        <w:t xml:space="preserve">)</w:t>
      </w:r>
      <w:r>
        <w:t xml:space="preserve">,</w:t>
      </w:r>
      <w:r>
        <w:t xml:space="preserve"> </w:t>
      </w:r>
      <w:r>
        <w:t xml:space="preserve">(</w:t>
      </w:r>
      <w:hyperlink w:anchor="ref-shah2020">
        <w:r>
          <w:rPr>
            <w:rStyle w:val="Hyperlink"/>
          </w:rPr>
          <w:t xml:space="preserve">44</w:t>
        </w:r>
      </w:hyperlink>
      <w:r>
        <w:t xml:space="preserve">)</w:t>
      </w:r>
      <w:r>
        <w:t xml:space="preserve">,</w:t>
      </w:r>
      <w:r>
        <w:t xml:space="preserve"> </w:t>
      </w:r>
      <w:r>
        <w:t xml:space="preserve">(</w:t>
      </w:r>
      <w:hyperlink w:anchor="ref-ipeirotis2025">
        <w:r>
          <w:rPr>
            <w:rStyle w:val="Hyperlink"/>
          </w:rPr>
          <w:t xml:space="preserve">43</w:t>
        </w:r>
      </w:hyperlink>
      <w:r>
        <w:t xml:space="preserve">)</w:t>
      </w:r>
      <w:r>
        <w:t xml:space="preserve">), longitudinal studies tracking sustained productivity improvements over multiple years remain limited</w:t>
      </w:r>
    </w:p>
    <w:p>
      <w:pPr>
        <w:pStyle w:val="Compact"/>
        <w:numPr>
          <w:ilvl w:val="0"/>
          <w:numId w:val="1018"/>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116</w:t>
        </w:r>
      </w:hyperlink>
      <w:r>
        <w:t xml:space="preserve">)</w:t>
      </w:r>
      <w:r>
        <w:t xml:space="preserve">, the methodology for quantifying their productivity contributions lacks standardization across studies</w:t>
      </w:r>
    </w:p>
    <w:p>
      <w:pPr>
        <w:pStyle w:val="Compact"/>
        <w:numPr>
          <w:ilvl w:val="0"/>
          <w:numId w:val="1018"/>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55</w:t>
        </w:r>
      </w:hyperlink>
      <w:r>
        <w:t xml:space="preserve">,</w:t>
      </w:r>
      <w:hyperlink w:anchor="ref-snowdon2024a">
        <w:r>
          <w:rPr>
            <w:rStyle w:val="Hyperlink"/>
          </w:rPr>
          <w:t xml:space="preserve">56</w:t>
        </w:r>
      </w:hyperlink>
      <w:r>
        <w:t xml:space="preserve">)</w:t>
      </w:r>
      <w:r>
        <w:t xml:space="preserve">. As of this review, AMAM-specific outcome studies remain very limited, providing only emerging evidence for analytics maturity (as distinct from EHR adoption) impact on outcomes</w:t>
      </w:r>
    </w:p>
    <w:bookmarkEnd w:id="66"/>
    <w:bookmarkStart w:id="69"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7"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22</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9</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133</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134</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135</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systems where machines learn from structured data but physicians work with unstructured, complex clinical information</w:t>
      </w:r>
      <w:r>
        <w:t xml:space="preserve"> </w:t>
      </w:r>
      <w:r>
        <w:t xml:space="preserve">(</w:t>
      </w:r>
      <w:hyperlink w:anchor="ref-strickland2019">
        <w:r>
          <w:rPr>
            <w:rStyle w:val="Hyperlink"/>
          </w:rPr>
          <w:t xml:space="preserve">136</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137</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138</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139</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140</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7"/>
    <w:bookmarkStart w:id="68"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8"/>
    <w:bookmarkEnd w:id="69"/>
    <w:bookmarkEnd w:id="70"/>
    <w:bookmarkStart w:id="97" w:name="discussion"/>
    <w:p>
      <w:pPr>
        <w:pStyle w:val="Heading1"/>
      </w:pPr>
      <w:r>
        <w:rPr>
          <w:rStyle w:val="SectionNumber"/>
        </w:rPr>
        <w:t xml:space="preserve">5</w:t>
      </w:r>
      <w:r>
        <w:tab/>
      </w:r>
      <w:r>
        <w:t xml:space="preserve">Discussion</w:t>
      </w:r>
    </w:p>
    <w:bookmarkStart w:id="76"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1" w:name="validated-benchmarking-data"/>
    <w:p>
      <w:pPr>
        <w:pStyle w:val="Heading3"/>
      </w:pPr>
      <w:r>
        <w:rPr>
          <w:rStyle w:val="SectionNumber"/>
        </w:rPr>
        <w:t xml:space="preserve">5.1.1</w:t>
      </w:r>
      <w:r>
        <w:tab/>
      </w:r>
      <w:r>
        <w:t xml:space="preserve">Validated Benchmarking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31</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32</w:t>
        </w:r>
      </w:hyperlink>
      <w:r>
        <w:t xml:space="preserve">)</w:t>
      </w:r>
      <w:r>
        <w:t xml:space="preserve"> </w:t>
      </w:r>
      <w:r>
        <w:t xml:space="preserve">offer reproducible, quantitative performance metrics.</w:t>
      </w:r>
    </w:p>
    <w:bookmarkEnd w:id="71"/>
    <w:bookmarkStart w:id="72" w:name="real-world-implementation-evidence"/>
    <w:p>
      <w:pPr>
        <w:pStyle w:val="Heading3"/>
      </w:pPr>
      <w:r>
        <w:rPr>
          <w:rStyle w:val="SectionNumber"/>
        </w:rPr>
        <w:t xml:space="preserve">5.1.2</w:t>
      </w:r>
      <w:r>
        <w:tab/>
      </w:r>
      <w:r>
        <w:t xml:space="preserve">Real-World Implementation Evidence</w:t>
      </w:r>
    </w:p>
    <w:p>
      <w:pPr>
        <w:pStyle w:val="FirstParagraph"/>
      </w:pPr>
      <w:r>
        <w:t xml:space="preserve">The Berkshire Healthcare NHS Trust case</w:t>
      </w:r>
      <w:r>
        <w:t xml:space="preserve"> </w:t>
      </w:r>
      <w:r>
        <w:t xml:space="preserve">(</w:t>
      </w:r>
      <w:hyperlink w:anchor="ref-berkshire2024">
        <w:r>
          <w:rPr>
            <w:rStyle w:val="Hyperlink"/>
          </w:rPr>
          <w:t xml:space="preserve">116</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72"/>
    <w:bookmarkStart w:id="73" w:name="reveals-interconnected-challenges"/>
    <w:p>
      <w:pPr>
        <w:pStyle w:val="Heading3"/>
      </w:pPr>
      <w:r>
        <w:rPr>
          <w:rStyle w:val="SectionNumber"/>
        </w:rPr>
        <w:t xml:space="preserve">5.1.3</w:t>
      </w:r>
      <w:r>
        <w:tab/>
      </w:r>
      <w:r>
        <w:t xml:space="preserve">Reveals Interconnected Challenges</w:t>
      </w:r>
    </w:p>
    <w:p>
      <w:pPr>
        <w:pStyle w:val="FirstParagraph"/>
      </w:pPr>
      <w:r>
        <w:t xml:space="preserve">The framework illuminates how technical barriers, analytics maturity constraints, and institutional memory loss compound each other, explaining why single-pillar interventions often fail. This integrated perspective enables healthcare organizations to understand why addressing one challenge in isolation may not produce lasting improvement.</w:t>
      </w:r>
    </w:p>
    <w:bookmarkEnd w:id="73"/>
    <w:bookmarkStart w:id="74" w:name="strong-economic-justification"/>
    <w:p>
      <w:pPr>
        <w:pStyle w:val="Heading3"/>
      </w:pPr>
      <w:r>
        <w:rPr>
          <w:rStyle w:val="SectionNumber"/>
        </w:rPr>
        <w:t xml:space="preserve">5.1.4</w:t>
      </w:r>
      <w:r>
        <w:tab/>
      </w:r>
      <w:r>
        <w:t xml:space="preserve">Strong 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119</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130</w:t>
        </w:r>
      </w:hyperlink>
      <w:r>
        <w:t xml:space="preserve">)</w:t>
      </w:r>
      <w:r>
        <w:t xml:space="preserve"> </w:t>
      </w:r>
      <w:r>
        <w:t xml:space="preserve">showing the healthcare analytics market expanding from $64.49B to $369.66B by 2034 indicate sustained investment demand.</w:t>
      </w:r>
    </w:p>
    <w:bookmarkEnd w:id="74"/>
    <w:bookmarkStart w:id="75" w:name="honest-assessment-of-limitations"/>
    <w:p>
      <w:pPr>
        <w:pStyle w:val="Heading3"/>
      </w:pPr>
      <w:r>
        <w:rPr>
          <w:rStyle w:val="SectionNumber"/>
        </w:rPr>
        <w:t xml:space="preserve">5.1.5</w:t>
      </w:r>
      <w:r>
        <w:tab/>
      </w:r>
      <w:r>
        <w:t xml:space="preserve">Honest Assessment of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25</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15</w:t>
        </w:r>
      </w:hyperlink>
      <w:r>
        <w:t xml:space="preserve">,</w:t>
      </w:r>
      <w:hyperlink w:anchor="ref-wu2024a">
        <w:r>
          <w:rPr>
            <w:rStyle w:val="Hyperlink"/>
          </w:rPr>
          <w:t xml:space="preserve">32</w:t>
        </w:r>
      </w:hyperlink>
      <w:r>
        <w:t xml:space="preserve">)</w:t>
      </w:r>
      <w:r>
        <w:t xml:space="preserve"> </w:t>
      </w:r>
      <w:r>
        <w:t xml:space="preserve">show significant gaps between benchmark performance and clinical readiness. This honest assessment enables appropriate implementation strategies.</w:t>
      </w:r>
    </w:p>
    <w:bookmarkEnd w:id="75"/>
    <w:bookmarkEnd w:id="76"/>
    <w:bookmarkStart w:id="83" w:name="limitations-and-constraints"/>
    <w:p>
      <w:pPr>
        <w:pStyle w:val="Heading2"/>
      </w:pPr>
      <w:r>
        <w:rPr>
          <w:rStyle w:val="SectionNumber"/>
        </w:rPr>
        <w:t xml:space="preserve">5.2</w:t>
      </w:r>
      <w:r>
        <w:tab/>
      </w:r>
      <w:r>
        <w:t xml:space="preserve">Limitations and Constraints</w:t>
      </w:r>
    </w:p>
    <w:p>
      <w:pPr>
        <w:pStyle w:val="FirstParagraph"/>
      </w:pPr>
      <w:r>
        <w:t xml:space="preserve">Despite strong evidence supporting conversational AI adoption, several limitations must be acknowledged:</w:t>
      </w:r>
    </w:p>
    <w:bookmarkStart w:id="77"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11</w:t>
        </w:r>
      </w:hyperlink>
      <w:r>
        <w:t xml:space="preserve">)</w:t>
      </w:r>
      <w:r>
        <w:t xml:space="preserve">.</w:t>
      </w:r>
    </w:p>
    <w:bookmarkEnd w:id="77"/>
    <w:bookmarkStart w:id="78"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8"/>
    <w:bookmarkStart w:id="79"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9"/>
    <w:bookmarkStart w:id="80"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80"/>
    <w:bookmarkStart w:id="81"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81"/>
    <w:bookmarkStart w:id="82"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2"/>
    <w:bookmarkEnd w:id="83"/>
    <w:bookmarkStart w:id="87"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4"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19"/>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19"/>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19"/>
        </w:numPr>
      </w:pPr>
      <w:r>
        <w:rPr>
          <w:b/>
          <w:bCs/>
        </w:rPr>
        <w:t xml:space="preserve">Governance Framework Development</w:t>
      </w:r>
      <w:r>
        <w:t xml:space="preserve">: Research on optimal governance models for democratized analytics</w:t>
      </w:r>
    </w:p>
    <w:p>
      <w:pPr>
        <w:pStyle w:val="Compact"/>
        <w:numPr>
          <w:ilvl w:val="0"/>
          <w:numId w:val="1019"/>
        </w:numPr>
      </w:pPr>
      <w:r>
        <w:rPr>
          <w:b/>
          <w:b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p>
    <w:bookmarkEnd w:id="84"/>
    <w:bookmarkStart w:id="85"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0"/>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0"/>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0"/>
        </w:numPr>
      </w:pPr>
      <w:r>
        <w:rPr>
          <w:b/>
          <w:bCs/>
        </w:rPr>
        <w:t xml:space="preserve">Longitudinal Outcome Studies</w:t>
      </w:r>
      <w:r>
        <w:t xml:space="preserve">: Multi-year implementations to assess sustained benefits and organizational evolution</w:t>
      </w:r>
    </w:p>
    <w:p>
      <w:pPr>
        <w:pStyle w:val="Compact"/>
        <w:numPr>
          <w:ilvl w:val="0"/>
          <w:numId w:val="1020"/>
        </w:numPr>
      </w:pPr>
      <w:r>
        <w:rPr>
          <w:b/>
          <w:bCs/>
        </w:rPr>
        <w:t xml:space="preserve">Comparative Effectiveness Research</w:t>
      </w:r>
      <w:r>
        <w:t xml:space="preserve">: Head-to-head comparisons of different conversational AI approaches on healthcare-specific benchmarks</w:t>
      </w:r>
    </w:p>
    <w:bookmarkEnd w:id="85"/>
    <w:bookmarkStart w:id="86"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1"/>
        </w:numPr>
      </w:pPr>
      <w:r>
        <w:rPr>
          <w:b/>
          <w:bCs/>
        </w:rPr>
        <w:t xml:space="preserve">Organizational Transformation Studies</w:t>
      </w:r>
      <w:r>
        <w:t xml:space="preserve">: Research on how conversational AI platforms reshape healthcare organizational capabilities</w:t>
      </w:r>
    </w:p>
    <w:p>
      <w:pPr>
        <w:pStyle w:val="Compact"/>
        <w:numPr>
          <w:ilvl w:val="0"/>
          <w:numId w:val="1021"/>
        </w:numPr>
      </w:pPr>
      <w:r>
        <w:rPr>
          <w:b/>
          <w:bCs/>
        </w:rPr>
        <w:t xml:space="preserve">Clinical Outcome Impact Assessment</w:t>
      </w:r>
      <w:r>
        <w:t xml:space="preserve">: Studies linking improved analytics access to patient care outcomes</w:t>
      </w:r>
    </w:p>
    <w:p>
      <w:pPr>
        <w:pStyle w:val="Compact"/>
        <w:numPr>
          <w:ilvl w:val="0"/>
          <w:numId w:val="1021"/>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6"/>
    <w:bookmarkEnd w:id="87"/>
    <w:bookmarkStart w:id="91"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p>
    <w:p>
      <w:pPr>
        <w:pStyle w:val="BodyText"/>
      </w:pPr>
      <w:r>
        <w:t xml:space="preserve">Validated query pairs address each weakness. First, validated pairs are executable: they can be tested against current data to verify continued correctness, unlike static documentation. Second,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 Third, validation happens at the point of use rather than as a separate maintenance task: every confirmed query becomes a knowledge artifact without additional documentation effort.</w:t>
      </w:r>
    </w:p>
    <w:p>
      <w:pPr>
        <w:pStyle w:val="BodyText"/>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p>
    <w:bookmarkStart w:id="88"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141</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141</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142</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143</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8"/>
    <w:bookmarkStart w:id="89"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2"/>
        </w:numPr>
      </w:pPr>
      <w:r>
        <w:rPr>
          <w:b/>
          <w:b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144</w:t>
        </w:r>
      </w:hyperlink>
      <w:r>
        <w:t xml:space="preserve">,</w:t>
      </w:r>
      <w:hyperlink w:anchor="ref-yupopa2005">
        <w:r>
          <w:rPr>
            <w:rStyle w:val="Hyperlink"/>
          </w:rPr>
          <w:t xml:space="preserve">145</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146</w:t>
        </w:r>
      </w:hyperlink>
      <w:r>
        <w:t xml:space="preserve">,</w:t>
      </w:r>
      <w:hyperlink w:anchor="ref-sivaranjani2025">
        <w:r>
          <w:rPr>
            <w:rStyle w:val="Hyperlink"/>
          </w:rPr>
          <w:t xml:space="preserve">147</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148</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149</w:t>
        </w:r>
      </w:hyperlink>
      <w:r>
        <w:t xml:space="preserve">)</w:t>
      </w:r>
      <w:r>
        <w:t xml:space="preserve">.</w:t>
      </w:r>
    </w:p>
    <w:p>
      <w:pPr>
        <w:numPr>
          <w:ilvl w:val="0"/>
          <w:numId w:val="1022"/>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150</w:t>
        </w:r>
      </w:hyperlink>
      <w:r>
        <w:t xml:space="preserve">)</w:t>
      </w:r>
      <w:r>
        <w:t xml:space="preserve">. In contrast, conversational interfaces represent active capture where the query itself is the documentation</w:t>
      </w:r>
      <w:r>
        <w:t xml:space="preserve"> </w:t>
      </w:r>
      <w:r>
        <w:t xml:space="preserve">(</w:t>
      </w:r>
      <w:hyperlink w:anchor="ref-moore2018">
        <w:r>
          <w:rPr>
            <w:rStyle w:val="Hyperlink"/>
          </w:rPr>
          <w:t xml:space="preserve">151</w:t>
        </w:r>
      </w:hyperlink>
      <w:r>
        <w:t xml:space="preserve">)</w:t>
      </w:r>
      <w:r>
        <w:t xml:space="preserve">, integrating knowledge preservation directly into the analytical workflow.</w:t>
      </w:r>
    </w:p>
    <w:p>
      <w:pPr>
        <w:numPr>
          <w:ilvl w:val="0"/>
          <w:numId w:val="1022"/>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152</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152</w:t>
        </w:r>
      </w:hyperlink>
      <w:r>
        <w:t xml:space="preserve">,</w:t>
      </w:r>
      <w:hyperlink w:anchor="ref-rivard1987">
        <w:r>
          <w:rPr>
            <w:rStyle w:val="Hyperlink"/>
          </w:rPr>
          <w:t xml:space="preserve">153</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154</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146</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155</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9"/>
    <w:bookmarkStart w:id="90"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A validated SQL query is often treated as a static artifact, but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90"/>
    <w:bookmarkEnd w:id="91"/>
    <w:bookmarkStart w:id="96"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2" w:name="X2f23efe7d260cae22651f913590ba1e30f02493"/>
    <w:p>
      <w:pPr>
        <w:pStyle w:val="Heading3"/>
      </w:pPr>
      <w:r>
        <w:rPr>
          <w:rStyle w:val="SectionNumber"/>
        </w:rPr>
        <w:t xml:space="preserve">5.5.1</w:t>
      </w:r>
      <w:r>
        <w:tab/>
      </w:r>
      <w:r>
        <w:t xml:space="preserve">Organizational Assessment Using the Three-Pillar Framework</w:t>
      </w:r>
    </w:p>
    <w:p>
      <w:pPr>
        <w:pStyle w:val="FirstParagraph"/>
      </w:pPr>
      <w:r>
        <w:t xml:space="preserve">The three-pillar framework provides a structured approach for organizational self-assessment:</w:t>
      </w:r>
    </w:p>
    <w:p>
      <w:pPr>
        <w:pStyle w:val="Compact"/>
        <w:numPr>
          <w:ilvl w:val="0"/>
          <w:numId w:val="1023"/>
        </w:numPr>
      </w:pPr>
      <w:r>
        <w:rPr>
          <w:b/>
          <w:bCs/>
        </w:rPr>
        <w:t xml:space="preserve">Analytics Maturity Assessment</w:t>
      </w:r>
      <w:r>
        <w:t xml:space="preserve">: Where does the organization currently stand on the HIMSS AMAM scale? What capabilities are needed to advance?</w:t>
      </w:r>
    </w:p>
    <w:p>
      <w:pPr>
        <w:pStyle w:val="Compact"/>
        <w:numPr>
          <w:ilvl w:val="0"/>
          <w:numId w:val="1023"/>
        </w:numPr>
      </w:pPr>
      <w:r>
        <w:rPr>
          <w:b/>
          <w:bCs/>
        </w:rPr>
        <w:t xml:space="preserve">Workforce Agility Audit</w:t>
      </w:r>
      <w:r>
        <w:t xml:space="preserve">: What tacit knowledge resides with individual staff members? How vulnerable is the organization to knowledge loss through turnover?</w:t>
      </w:r>
    </w:p>
    <w:p>
      <w:pPr>
        <w:pStyle w:val="Compact"/>
        <w:numPr>
          <w:ilvl w:val="0"/>
          <w:numId w:val="1023"/>
        </w:numPr>
      </w:pPr>
      <w:r>
        <w:rPr>
          <w:b/>
          <w:bCs/>
        </w:rPr>
        <w:t xml:space="preserve">Technical Enablement Inventory</w:t>
      </w:r>
      <w:r>
        <w:t xml:space="preserve">: What technical skills are currently required for data access? Which clinical questions go unanswered due to access barriers?</w:t>
      </w:r>
    </w:p>
    <w:bookmarkEnd w:id="92"/>
    <w:bookmarkStart w:id="93"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63</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wang2018">
              <w:r>
                <w:rPr>
                  <w:rStyle w:val="Hyperlink"/>
                </w:rPr>
                <w:t xml:space="preserve">51</w:t>
              </w:r>
            </w:hyperlink>
            <w:r>
              <w:t xml:space="preserve">,</w:t>
            </w:r>
            <w:hyperlink w:anchor="ref-berkshire2024">
              <w:r>
                <w:rPr>
                  <w:rStyle w:val="Hyperlink"/>
                </w:rPr>
                <w:t xml:space="preserve">116</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25</w:t>
              </w:r>
            </w:hyperlink>
            <w:r>
              <w:t xml:space="preserve">,</w:t>
            </w:r>
            <w:hyperlink w:anchor="ref-wang2020">
              <w:r>
                <w:rPr>
                  <w:rStyle w:val="Hyperlink"/>
                </w:rPr>
                <w:t xml:space="preserve">35</w:t>
              </w:r>
            </w:hyperlink>
            <w:r>
              <w:t xml:space="preserve">)</w:t>
            </w:r>
          </w:p>
        </w:tc>
      </w:tr>
    </w:tbl>
    <w:p>
      <w:pPr>
        <w:pStyle w:val="BodyText"/>
      </w:pPr>
      <w:r>
        <w:rPr>
          <w:b/>
          <w:bCs/>
        </w:rPr>
        <w:t xml:space="preserve">Pillar 2: Workforce Agility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8</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6</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benbya2004">
              <w:r>
                <w:rPr>
                  <w:rStyle w:val="Hyperlink"/>
                </w:rPr>
                <w:t xml:space="preserve">21</w:t>
              </w:r>
            </w:hyperlink>
            <w:r>
              <w:t xml:space="preserve">,</w:t>
            </w:r>
            <w:hyperlink w:anchor="ref-richesson2007">
              <w:r>
                <w:rPr>
                  <w:rStyle w:val="Hyperlink"/>
                </w:rPr>
                <w:t xml:space="preserve">22</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88</w:t>
              </w:r>
            </w:hyperlink>
            <w:r>
              <w:t xml:space="preserve">,</w:t>
            </w:r>
            <w:hyperlink w:anchor="ref-mantas2010">
              <w:r>
                <w:rPr>
                  <w:rStyle w:val="Hyperlink"/>
                </w:rPr>
                <w:t xml:space="preserve">89</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21</w:t>
              </w:r>
            </w:hyperlink>
            <w:r>
              <w:t xml:space="preserve">)</w:t>
            </w:r>
          </w:p>
        </w:tc>
      </w:tr>
    </w:tbl>
    <w:p>
      <w:pPr>
        <w:pStyle w:val="BodyText"/>
      </w:pPr>
      <w:r>
        <w:rPr>
          <w:b/>
          <w:bCs/>
        </w:rPr>
        <w:t xml:space="preserve">Pillar 3: Technical Enablement</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51</w:t>
              </w:r>
            </w:hyperlink>
            <w:r>
              <w:t xml:space="preserve">,</w:t>
            </w:r>
            <w:hyperlink w:anchor="ref-pesqueira2020">
              <w:r>
                <w:rPr>
                  <w:rStyle w:val="Hyperlink"/>
                </w:rPr>
                <w:t xml:space="preserve">65</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9</w:t>
              </w:r>
            </w:hyperlink>
            <w:r>
              <w:t xml:space="preserve">,</w:t>
            </w:r>
            <w:hyperlink w:anchor="ref-bogaert2021">
              <w:r>
                <w:rPr>
                  <w:rStyle w:val="Hyperlink"/>
                </w:rPr>
                <w:t xml:space="preserve">134</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64</w:t>
              </w:r>
            </w:hyperlink>
            <w:r>
              <w:t xml:space="preserve">,</w:t>
            </w:r>
            <w:hyperlink w:anchor="ref-pesqueira2020">
              <w:r>
                <w:rPr>
                  <w:rStyle w:val="Hyperlink"/>
                </w:rPr>
                <w:t xml:space="preserve">65</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All pillars High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 Higher Risk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3"/>
    <w:bookmarkStart w:id="94"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4"/>
        </w:numPr>
      </w:pPr>
      <w:r>
        <w:rPr>
          <w:b/>
          <w:bCs/>
        </w:rPr>
        <w:t xml:space="preserve">Governance Framework Development</w:t>
      </w:r>
      <w:r>
        <w:t xml:space="preserve">: New policies and procedures for democratized analytics</w:t>
      </w:r>
    </w:p>
    <w:p>
      <w:pPr>
        <w:pStyle w:val="Compact"/>
        <w:numPr>
          <w:ilvl w:val="0"/>
          <w:numId w:val="1024"/>
        </w:numPr>
      </w:pPr>
      <w:r>
        <w:rPr>
          <w:b/>
          <w:bCs/>
        </w:rPr>
        <w:t xml:space="preserve">Change Management</w:t>
      </w:r>
      <w:r>
        <w:t xml:space="preserve">: Training and support programs to ensure user adoption</w:t>
      </w:r>
    </w:p>
    <w:p>
      <w:pPr>
        <w:pStyle w:val="Compact"/>
        <w:numPr>
          <w:ilvl w:val="0"/>
          <w:numId w:val="1024"/>
        </w:numPr>
      </w:pPr>
      <w:r>
        <w:rPr>
          <w:b/>
          <w:bCs/>
        </w:rPr>
        <w:t xml:space="preserve">Phased Deployment</w:t>
      </w:r>
      <w:r>
        <w:t xml:space="preserve">: Gradual rollout beginning with analytics-savvy early adopters</w:t>
      </w:r>
    </w:p>
    <w:p>
      <w:pPr>
        <w:pStyle w:val="Compact"/>
        <w:numPr>
          <w:ilvl w:val="0"/>
          <w:numId w:val="1024"/>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25</w:t>
        </w:r>
      </w:hyperlink>
      <w:r>
        <w:t xml:space="preserve">)</w:t>
      </w:r>
    </w:p>
    <w:bookmarkEnd w:id="94"/>
    <w:bookmarkStart w:id="95"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p>
    <w:bookmarkEnd w:id="95"/>
    <w:bookmarkEnd w:id="96"/>
    <w:bookmarkEnd w:id="97"/>
    <w:bookmarkStart w:id="103"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98"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5"/>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5"/>
        </w:numPr>
      </w:pPr>
      <w:r>
        <w:rPr>
          <w:b/>
          <w:bCs/>
        </w:rPr>
        <w:t xml:space="preserve">Workforce turnover</w:t>
      </w:r>
      <w:r>
        <w:t xml:space="preserve"> </w:t>
      </w:r>
      <w:r>
        <w:t xml:space="preserve">(~34% implied annual rate for new healthcare IT staff as of 2004</w:t>
      </w:r>
      <w:r>
        <w:t xml:space="preserve"> </w:t>
      </w:r>
      <w:r>
        <w:t xml:space="preserve">(</w:t>
      </w:r>
      <w:hyperlink w:anchor="ref-ang2004">
        <w:r>
          <w:rPr>
            <w:rStyle w:val="Hyperlink"/>
          </w:rPr>
          <w:t xml:space="preserve">15</w:t>
        </w:r>
      </w:hyperlink>
      <w:r>
        <w:t xml:space="preserve">)</w:t>
      </w:r>
      <w:r>
        <w:t xml:space="preserve">) causes institutional memory loss that further degrades analytics capabilities, creating a reinforcing cycle</w:t>
      </w:r>
    </w:p>
    <w:p>
      <w:pPr>
        <w:pStyle w:val="Compact"/>
        <w:numPr>
          <w:ilvl w:val="0"/>
          <w:numId w:val="1025"/>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98"/>
    <w:bookmarkStart w:id="99"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6"/>
        </w:numPr>
      </w:pPr>
      <w:r>
        <w:rPr>
          <w:b/>
          <w:bCs/>
        </w:rPr>
        <w:t xml:space="preserve">Three-Pillar Analytical Framework</w:t>
      </w:r>
      <w:r>
        <w:t xml:space="preserve"> </w:t>
      </w:r>
      <w:r>
        <w:t xml:space="preserve">(Primary Contribution): The framework synthesizes previously disconnected evidence from analytics maturity, workforce management, and natural language processing research, revealing how these capabilities interconnect and compound each other: low maturity accelerates turnover, turnover degrades agility, and low technical enablement prevents recovery from either.</w:t>
      </w:r>
    </w:p>
    <w:p>
      <w:pPr>
        <w:numPr>
          <w:ilvl w:val="0"/>
          <w:numId w:val="1026"/>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6"/>
        </w:numPr>
      </w:pPr>
      <w:r>
        <w:rPr>
          <w:b/>
          <w:bCs/>
        </w:rPr>
        <w:t xml:space="preserve">Illustrative Application</w:t>
      </w:r>
      <w:r>
        <w:t xml:space="preserve">: By applying established knowledge portal theory</w:t>
      </w:r>
      <w:r>
        <w:t xml:space="preserve"> </w:t>
      </w:r>
      <w:r>
        <w:t xml:space="preserve">(</w:t>
      </w:r>
      <w:hyperlink w:anchor="ref-benbya2004">
        <w:r>
          <w:rPr>
            <w:rStyle w:val="Hyperlink"/>
          </w:rPr>
          <w:t xml:space="preserve">21</w:t>
        </w:r>
      </w:hyperlink>
      <w:r>
        <w:t xml:space="preserve">,</w:t>
      </w:r>
      <w:hyperlink w:anchor="ref-richesson2007">
        <w:r>
          <w:rPr>
            <w:rStyle w:val="Hyperlink"/>
          </w:rPr>
          <w:t xml:space="preserve">22</w:t>
        </w:r>
      </w:hyperlink>
      <w:r>
        <w:t xml:space="preserve">)</w:t>
      </w:r>
      <w:r>
        <w:t xml:space="preserve">, we describe the validated query cycle as one example of how the framework might inform technology design for institutional memory preservation.</w:t>
      </w:r>
    </w:p>
    <w:bookmarkEnd w:id="99"/>
    <w:bookmarkStart w:id="100"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7"/>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35</w:t>
        </w:r>
      </w:hyperlink>
      <w:r>
        <w:t xml:space="preserve">,</w:t>
      </w:r>
      <w:hyperlink w:anchor="ref-lee2023">
        <w:r>
          <w:rPr>
            <w:rStyle w:val="Hyperlink"/>
          </w:rPr>
          <w:t xml:space="preserve">36</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25</w:t>
        </w:r>
      </w:hyperlink>
      <w:r>
        <w:t xml:space="preserve">)</w:t>
      </w:r>
      <w:r>
        <w:t xml:space="preserve">, requiring human oversight.</w:t>
      </w:r>
    </w:p>
    <w:p>
      <w:pPr>
        <w:numPr>
          <w:ilvl w:val="0"/>
          <w:numId w:val="1027"/>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7"/>
        </w:numPr>
      </w:pPr>
      <w:r>
        <w:rPr>
          <w:b/>
          <w:bCs/>
        </w:rPr>
        <w:t xml:space="preserve">Workforce Impact</w:t>
      </w:r>
      <w:r>
        <w:t xml:space="preserve">: Healthcare IT staff new-hire turnover was implied at ~34% in 2004</w:t>
      </w:r>
      <w:r>
        <w:t xml:space="preserve"> </w:t>
      </w:r>
      <w:r>
        <w:t xml:space="preserve">(</w:t>
      </w:r>
      <w:hyperlink w:anchor="ref-ang2004">
        <w:r>
          <w:rPr>
            <w:rStyle w:val="Hyperlink"/>
          </w:rPr>
          <w:t xml:space="preserve">15</w:t>
        </w:r>
      </w:hyperlink>
      <w:r>
        <w:t xml:space="preserve">)</w:t>
      </w:r>
      <w:r>
        <w:t xml:space="preserve">, the highest instability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83</w:t>
        </w:r>
      </w:hyperlink>
      <w:r>
        <w:t xml:space="preserve">)</w:t>
      </w:r>
      <w:r>
        <w:t xml:space="preserve">, creating need for knowledge preservation approaches.</w:t>
      </w:r>
    </w:p>
    <w:p>
      <w:pPr>
        <w:numPr>
          <w:ilvl w:val="0"/>
          <w:numId w:val="1027"/>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116</w:t>
        </w:r>
      </w:hyperlink>
      <w:r>
        <w:t xml:space="preserve">)</w:t>
      </w:r>
      <w:r>
        <w:t xml:space="preserve"> </w:t>
      </w:r>
      <w:r>
        <w:t xml:space="preserve">demonstrate that low-code platforms can enable over 1,600 citizen developers in healthcare settings, with academic research documenting significant efficiency improvements and cost reductions</w:t>
      </w:r>
      <w:r>
        <w:t xml:space="preserve"> </w:t>
      </w:r>
      <w:r>
        <w:t xml:space="preserve">(</w:t>
      </w:r>
      <w:hyperlink w:anchor="ref-sezgin2022">
        <w:r>
          <w:rPr>
            <w:rStyle w:val="Hyperlink"/>
          </w:rPr>
          <w:t xml:space="preserve">113</w:t>
        </w:r>
      </w:hyperlink>
      <w:r>
        <w:t xml:space="preserve">,</w:t>
      </w:r>
      <w:hyperlink w:anchor="ref-jiao2023">
        <w:r>
          <w:rPr>
            <w:rStyle w:val="Hyperlink"/>
          </w:rPr>
          <w:t xml:space="preserve">114</w:t>
        </w:r>
      </w:hyperlink>
      <w:r>
        <w:t xml:space="preserve">)</w:t>
      </w:r>
      <w:r>
        <w:t xml:space="preserve">.</w:t>
      </w:r>
    </w:p>
    <w:bookmarkEnd w:id="100"/>
    <w:bookmarkStart w:id="101"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8"/>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8"/>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25</w:t>
        </w:r>
      </w:hyperlink>
      <w:r>
        <w:t xml:space="preserve">)</w:t>
      </w:r>
      <w:r>
        <w:t xml:space="preserve">), governance requirements, and implementation complexity</w:t>
      </w:r>
    </w:p>
    <w:p>
      <w:pPr>
        <w:numPr>
          <w:ilvl w:val="0"/>
          <w:numId w:val="1028"/>
        </w:numPr>
      </w:pPr>
      <w:r>
        <w:rPr>
          <w:b/>
          <w:bCs/>
        </w:rPr>
        <w:t xml:space="preserve">Apply the three-pillar framework</w:t>
      </w:r>
      <w:r>
        <w:t xml:space="preserve">: Use the analytics maturity, workforce agility, and technical enablement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101"/>
    <w:bookmarkStart w:id="102"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102"/>
    <w:bookmarkEnd w:id="103"/>
    <w:bookmarkStart w:id="104"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4"/>
    <w:bookmarkStart w:id="105"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5"/>
    <w:bookmarkStart w:id="106"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6"/>
    <w:bookmarkStart w:id="107"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7"/>
    <w:bookmarkStart w:id="108"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08"/>
    <w:bookmarkStart w:id="109"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09"/>
    <w:bookmarkStart w:id="110"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10"/>
    <w:bookmarkStart w:id="395" w:name="references"/>
    <w:p>
      <w:pPr>
        <w:pStyle w:val="Heading1"/>
      </w:pPr>
      <w:r>
        <w:rPr>
          <w:rStyle w:val="SectionNumber"/>
        </w:rPr>
        <w:t xml:space="preserve">14</w:t>
      </w:r>
      <w:r>
        <w:tab/>
      </w:r>
      <w:r>
        <w:t xml:space="preserve">References</w:t>
      </w:r>
    </w:p>
    <w:bookmarkStart w:id="394" w:name="refs"/>
    <w:bookmarkStart w:id="112"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1">
        <w:r>
          <w:rPr>
            <w:rStyle w:val="Hyperlink"/>
          </w:rPr>
          <w:t xml:space="preserve">https://www.ahima.org/news-publications/press-room-press-releases/2023-press-releases/health-information-workforce-shortages-persist-as-ai-shows-promise-ahima-survey-reveals/</w:t>
        </w:r>
      </w:hyperlink>
    </w:p>
    <w:bookmarkEnd w:id="112"/>
    <w:bookmarkStart w:id="114"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3">
        <w:r>
          <w:rPr>
            <w:rStyle w:val="Hyperlink"/>
          </w:rPr>
          <w:t xml:space="preserve">https://www.himss.org/maturity-models/amam/</w:t>
        </w:r>
      </w:hyperlink>
    </w:p>
    <w:bookmarkEnd w:id="114"/>
    <w:bookmarkStart w:id="116"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5">
        <w:r>
          <w:rPr>
            <w:rStyle w:val="Hyperlink"/>
          </w:rPr>
          <w:t xml:space="preserve">https://www.healthcareitnews.com/news/asia/himss24-apac-adoption-model-analytics-maturity-gets-facelift</w:t>
        </w:r>
      </w:hyperlink>
    </w:p>
    <w:bookmarkEnd w:id="116"/>
    <w:bookmarkStart w:id="118" w:name="ref-tgh2025"/>
    <w:p>
      <w:pPr>
        <w:pStyle w:val="Bibliography"/>
      </w:pPr>
      <w:r>
        <w:t xml:space="preserve">4.</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17">
        <w:r>
          <w:rPr>
            <w:rStyle w:val="Hyperlink"/>
          </w:rPr>
          <w:t xml:space="preserve">https://www.tgh.org/news/tgh-press-releases/2025/june/tampa-general-hospital-awarded-highest-designation-analytics-himss</w:t>
        </w:r>
      </w:hyperlink>
    </w:p>
    <w:bookmarkEnd w:id="118"/>
    <w:bookmarkStart w:id="120" w:name="ref-cmuh2025"/>
    <w:p>
      <w:pPr>
        <w:pStyle w:val="Bibliography"/>
      </w:pPr>
      <w:r>
        <w:t xml:space="preserve">5.</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19">
        <w:r>
          <w:rPr>
            <w:rStyle w:val="Hyperlink"/>
          </w:rPr>
          <w:t xml:space="preserve">https://www.prnewswire.com/news-releases/taiwans-first-hospital-to-achieve-amam-stage-7-certification-302390824.html</w:t>
        </w:r>
      </w:hyperlink>
    </w:p>
    <w:bookmarkEnd w:id="120"/>
    <w:bookmarkStart w:id="122" w:name="ref-wittkieffer2024"/>
    <w:p>
      <w:pPr>
        <w:pStyle w:val="Bibliography"/>
      </w:pPr>
      <w:r>
        <w:t xml:space="preserve">6.</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21">
        <w:r>
          <w:rPr>
            <w:rStyle w:val="Hyperlink"/>
          </w:rPr>
          <w:t xml:space="preserve">https://api.wittkieffer.com/wp-content/uploads/2012/10/cio-insights-the-state-of-healthcare-it-leadership-wittkieffer-october-2024.pdf</w:t>
        </w:r>
      </w:hyperlink>
    </w:p>
    <w:bookmarkEnd w:id="122"/>
    <w:bookmarkStart w:id="124" w:name="ref-himssworkforce2024"/>
    <w:p>
      <w:pPr>
        <w:pStyle w:val="Bibliography"/>
      </w:pPr>
      <w:r>
        <w:t xml:space="preserve">7.</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3">
        <w:r>
          <w:rPr>
            <w:rStyle w:val="Hyperlink"/>
          </w:rPr>
          <w:t xml:space="preserve">https://www.himss.org/resources/the-future-of-workforce/</w:t>
        </w:r>
      </w:hyperlink>
    </w:p>
    <w:bookmarkEnd w:id="124"/>
    <w:bookmarkStart w:id="126" w:name="ref-nsi2025"/>
    <w:p>
      <w:pPr>
        <w:pStyle w:val="Bibliography"/>
      </w:pPr>
      <w:r>
        <w:t xml:space="preserve">8.</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125">
        <w:r>
          <w:rPr>
            <w:rStyle w:val="Hyperlink"/>
          </w:rPr>
          <w:t xml:space="preserve">https://www.nsinursingsolutions.com/documents/library/nsi_national_health_care_retention_report.pdf</w:t>
        </w:r>
      </w:hyperlink>
    </w:p>
    <w:bookmarkEnd w:id="126"/>
    <w:bookmarkStart w:id="128" w:name="ref-gal2019"/>
    <w:p>
      <w:pPr>
        <w:pStyle w:val="Bibliography"/>
      </w:pPr>
      <w:r>
        <w:t xml:space="preserve">9.</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27">
        <w:r>
          <w:rPr>
            <w:rStyle w:val="Hyperlink"/>
          </w:rPr>
          <w:t xml:space="preserve">https://www.nyulawreview.org/issues/volume-94-number-4/data-standardization/</w:t>
        </w:r>
      </w:hyperlink>
    </w:p>
    <w:bookmarkEnd w:id="128"/>
    <w:bookmarkStart w:id="129" w:name="ref-zhang2024"/>
    <w:p>
      <w:pPr>
        <w:pStyle w:val="Bibliography"/>
      </w:pPr>
      <w:r>
        <w:t xml:space="preserve">10.</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29"/>
    <w:bookmarkStart w:id="131" w:name="ref-anthropic2025"/>
    <w:p>
      <w:pPr>
        <w:pStyle w:val="Bibliography"/>
      </w:pPr>
      <w:r>
        <w:t xml:space="preserve">11.</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30">
        <w:r>
          <w:rPr>
            <w:rStyle w:val="Hyperlink"/>
          </w:rPr>
          <w:t xml:space="preserve">https://resources.anthropic.com/code-modernization-playbook</w:t>
        </w:r>
      </w:hyperlink>
    </w:p>
    <w:bookmarkEnd w:id="131"/>
    <w:bookmarkStart w:id="133" w:name="ref-hendrix1978"/>
    <w:p>
      <w:pPr>
        <w:pStyle w:val="Bibliography"/>
      </w:pPr>
      <w:r>
        <w:t xml:space="preserve">12.</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2">
        <w:r>
          <w:rPr>
            <w:rStyle w:val="Hyperlink"/>
          </w:rPr>
          <w:t xml:space="preserve">https://dl.acm.org/doi/abs/10.1145/320251.320253</w:t>
        </w:r>
      </w:hyperlink>
    </w:p>
    <w:bookmarkEnd w:id="133"/>
    <w:bookmarkStart w:id="135" w:name="ref-ogunwole2023"/>
    <w:p>
      <w:pPr>
        <w:pStyle w:val="Bibliography"/>
      </w:pPr>
      <w:r>
        <w:t xml:space="preserve">13.</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4">
        <w:r>
          <w:rPr>
            <w:rStyle w:val="Hyperlink"/>
          </w:rPr>
          <w:t xml:space="preserve">https://www.allmultidisciplinaryjournal.com/uploads/archives/20250306182550_MGE-2025-2-018.1.pdf</w:t>
        </w:r>
      </w:hyperlink>
    </w:p>
    <w:bookmarkEnd w:id="135"/>
    <w:bookmarkStart w:id="137" w:name="ref-arora2025"/>
    <w:p>
      <w:pPr>
        <w:pStyle w:val="Bibliography"/>
      </w:pPr>
      <w:r>
        <w:t xml:space="preserve">14.</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36">
        <w:r>
          <w:rPr>
            <w:rStyle w:val="Hyperlink"/>
          </w:rPr>
          <w:t xml:space="preserve">https://papers.ssrn.com/sol3/papers.cfm?abstract_id=5268176</w:t>
        </w:r>
      </w:hyperlink>
    </w:p>
    <w:bookmarkEnd w:id="137"/>
    <w:bookmarkStart w:id="139" w:name="ref-ang2004"/>
    <w:p>
      <w:pPr>
        <w:pStyle w:val="Bibliography"/>
      </w:pPr>
      <w:r>
        <w:t xml:space="preserve">15.</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38">
        <w:r>
          <w:rPr>
            <w:rStyle w:val="Hyperlink"/>
          </w:rPr>
          <w:t xml:space="preserve">https://dl.acm.org/doi/10.1145/1017114.1017118</w:t>
        </w:r>
      </w:hyperlink>
    </w:p>
    <w:bookmarkEnd w:id="139"/>
    <w:bookmarkStart w:id="141" w:name="ref-rajamani2025"/>
    <w:p>
      <w:pPr>
        <w:pStyle w:val="Bibliography"/>
      </w:pPr>
      <w:r>
        <w:t xml:space="preserve">16.</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40">
        <w:r>
          <w:rPr>
            <w:rStyle w:val="Hyperlink"/>
          </w:rPr>
          <w:t xml:space="preserve">https://academic.oup.com/jpubhealth</w:t>
        </w:r>
      </w:hyperlink>
    </w:p>
    <w:bookmarkEnd w:id="141"/>
    <w:bookmarkStart w:id="143" w:name="ref-shen2023"/>
    <w:p>
      <w:pPr>
        <w:pStyle w:val="Bibliography"/>
      </w:pPr>
      <w:r>
        <w:t xml:space="preserve">17.</w:t>
      </w:r>
      <w:r>
        <w:t xml:space="preserve"> </w:t>
      </w:r>
      <w:r>
        <w:t xml:space="preserve">	</w:t>
      </w:r>
      <w:r>
        <w:t xml:space="preserve">Shen M K., Gandhi AD.</w:t>
      </w:r>
      <w:r>
        <w:t xml:space="preserve"> </w:t>
      </w:r>
      <w:r>
        <w:t xml:space="preserve">Health care staff turnover and quality of care at nursing homes</w:t>
      </w:r>
      <w:r>
        <w:t xml:space="preserve">.</w:t>
      </w:r>
      <w:r>
        <w:t xml:space="preserve"> </w:t>
      </w:r>
      <w:r>
        <w:t xml:space="preserve">JAMA</w:t>
      </w:r>
      <w:r>
        <w:t xml:space="preserve"> </w:t>
      </w:r>
      <w:r>
        <w:t xml:space="preserve">Internal Medicine [Internet]. 2023;183(10):1088–95. Available from:</w:t>
      </w:r>
      <w:r>
        <w:t xml:space="preserve"> </w:t>
      </w:r>
      <w:hyperlink r:id="rId142">
        <w:r>
          <w:rPr>
            <w:rStyle w:val="Hyperlink"/>
          </w:rPr>
          <w:t xml:space="preserve">https://jamanetwork.com/journals/jamainternalmedicine/fullarticle/2809588</w:t>
        </w:r>
      </w:hyperlink>
    </w:p>
    <w:bookmarkEnd w:id="143"/>
    <w:bookmarkStart w:id="145" w:name="ref-latrella2024"/>
    <w:p>
      <w:pPr>
        <w:pStyle w:val="Bibliography"/>
      </w:pPr>
      <w:r>
        <w:t xml:space="preserve">18.</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44">
        <w:r>
          <w:rPr>
            <w:rStyle w:val="Hyperlink"/>
          </w:rPr>
          <w:t xml:space="preserve">https://www.ingentaconnect.com/content/hsp/mih/2024/00000008/00000004/art00006</w:t>
        </w:r>
      </w:hyperlink>
    </w:p>
    <w:bookmarkEnd w:id="145"/>
    <w:bookmarkStart w:id="147" w:name="ref-khan2023"/>
    <w:p>
      <w:pPr>
        <w:pStyle w:val="Bibliography"/>
      </w:pPr>
      <w:r>
        <w:t xml:space="preserve">19.</w:t>
      </w:r>
      <w:r>
        <w:t xml:space="preserve"> </w:t>
      </w:r>
      <w:r>
        <w:t xml:space="preserve">	</w:t>
      </w:r>
      <w:r>
        <w:t xml:space="preserve">Khan S S.</w:t>
      </w:r>
      <w:r>
        <w:t xml:space="preserve"> </w:t>
      </w:r>
      <w:r>
        <w:t xml:space="preserve">Advanced business analytics in healthcare: Enhancing clinical decision support and operational efficiency</w:t>
      </w:r>
      <w:r>
        <w:t xml:space="preserve">. Journal of Business Analytics [Internet]. 2023;6(2):112–25. Available from:</w:t>
      </w:r>
      <w:r>
        <w:t xml:space="preserve"> </w:t>
      </w:r>
      <w:hyperlink r:id="rId146">
        <w:r>
          <w:rPr>
            <w:rStyle w:val="Hyperlink"/>
          </w:rPr>
          <w:t xml:space="preserve">https://publishing.emanresearch.org/Journal/FullText/6104</w:t>
        </w:r>
      </w:hyperlink>
    </w:p>
    <w:bookmarkEnd w:id="147"/>
    <w:bookmarkStart w:id="149" w:name="ref-lin2012"/>
    <w:p>
      <w:pPr>
        <w:pStyle w:val="Bibliography"/>
      </w:pPr>
      <w:r>
        <w:t xml:space="preserve">20.</w:t>
      </w:r>
      <w:r>
        <w:t xml:space="preserve"> </w:t>
      </w:r>
      <w:r>
        <w:t xml:space="preserve">	</w:t>
      </w:r>
      <w:r>
        <w:t xml:space="preserve">Lin L C.</w:t>
      </w:r>
      <w:r>
        <w:t xml:space="preserve"> </w:t>
      </w:r>
      <w:r>
        <w:t xml:space="preserve">Barriers to physicians’ adoption of healthcare information technology: An empirical study on multiple hospitals</w:t>
      </w:r>
      <w:r>
        <w:t xml:space="preserve">. Journal of Medical Systems [Internet]. 2012; Available from:</w:t>
      </w:r>
      <w:r>
        <w:t xml:space="preserve"> </w:t>
      </w:r>
      <w:hyperlink r:id="rId148">
        <w:r>
          <w:rPr>
            <w:rStyle w:val="Hyperlink"/>
          </w:rPr>
          <w:t xml:space="preserve">https://link.springer.com/article/10.1007/s10916-011-9656-7</w:t>
        </w:r>
      </w:hyperlink>
    </w:p>
    <w:bookmarkEnd w:id="149"/>
    <w:bookmarkStart w:id="151" w:name="ref-benbya2004"/>
    <w:p>
      <w:pPr>
        <w:pStyle w:val="Bibliography"/>
      </w:pPr>
      <w:r>
        <w:t xml:space="preserve">21.</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50">
        <w:r>
          <w:rPr>
            <w:rStyle w:val="Hyperlink"/>
          </w:rPr>
          <w:t xml:space="preserve">https://doi.org/10.1016/j.ijinfomgt.2003.12.012</w:t>
        </w:r>
      </w:hyperlink>
    </w:p>
    <w:bookmarkEnd w:id="151"/>
    <w:bookmarkStart w:id="153" w:name="ref-richesson2007"/>
    <w:p>
      <w:pPr>
        <w:pStyle w:val="Bibliography"/>
      </w:pPr>
      <w:r>
        <w:t xml:space="preserve">22.</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152">
        <w:r>
          <w:rPr>
            <w:rStyle w:val="Hyperlink"/>
          </w:rPr>
          <w:t xml:space="preserve">https://academic.oup.com/jamia/article/14/6/687/750453</w:t>
        </w:r>
      </w:hyperlink>
    </w:p>
    <w:bookmarkEnd w:id="153"/>
    <w:bookmarkStart w:id="155" w:name="ref-bravorocca2023"/>
    <w:p>
      <w:pPr>
        <w:pStyle w:val="Bibliography"/>
      </w:pPr>
      <w:r>
        <w:t xml:space="preserve">23.</w:t>
      </w:r>
      <w:r>
        <w:t xml:space="preserve"> </w:t>
      </w:r>
      <w:r>
        <w:t xml:space="preserve">	</w:t>
      </w:r>
      <w:r>
        <w:t xml:space="preserve">Bravo Rocca GJ. Human-on-the-loop continual learning [Internet] [PhD thesis]. Universitat Politècnica de Catalunya; 2023. Available from:</w:t>
      </w:r>
      <w:r>
        <w:t xml:space="preserve"> </w:t>
      </w:r>
      <w:hyperlink r:id="rId154">
        <w:r>
          <w:rPr>
            <w:rStyle w:val="Hyperlink"/>
          </w:rPr>
          <w:t xml:space="preserve">https://www.tdx.cat/bitstream/handle/10803/695722/TGJBR1de1.pdf?sequence=1</w:t>
        </w:r>
      </w:hyperlink>
    </w:p>
    <w:bookmarkEnd w:id="155"/>
    <w:bookmarkStart w:id="157" w:name="ref-mosqueirarey2023"/>
    <w:p>
      <w:pPr>
        <w:pStyle w:val="Bibliography"/>
      </w:pPr>
      <w:r>
        <w:t xml:space="preserve">24.</w:t>
      </w:r>
      <w:r>
        <w:t xml:space="preserve"> </w:t>
      </w:r>
      <w:r>
        <w:t xml:space="preserve">	</w:t>
      </w:r>
      <w:r>
        <w:t xml:space="preserve">Mosqueira-Rey E et al. Human-in-the-loop machine learning: A state of the art. Artificial Intelligence Review [Internet]. 2023;56:3005–54. Available from:</w:t>
      </w:r>
      <w:r>
        <w:t xml:space="preserve"> </w:t>
      </w:r>
      <w:hyperlink r:id="rId156">
        <w:r>
          <w:rPr>
            <w:rStyle w:val="Hyperlink"/>
          </w:rPr>
          <w:t xml:space="preserve">https://link.springer.com/content/pdf/10.1007/s10462-022-10246-w.pdf</w:t>
        </w:r>
      </w:hyperlink>
    </w:p>
    <w:bookmarkEnd w:id="157"/>
    <w:bookmarkStart w:id="159" w:name="ref-ziletti2024"/>
    <w:p>
      <w:pPr>
        <w:pStyle w:val="Bibliography"/>
      </w:pPr>
      <w:r>
        <w:t xml:space="preserve">25.</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8">
        <w:r>
          <w:rPr>
            <w:rStyle w:val="Hyperlink"/>
          </w:rPr>
          <w:t xml:space="preserve">https://arxiv.org/abs/2403.09226</w:t>
        </w:r>
      </w:hyperlink>
    </w:p>
    <w:bookmarkEnd w:id="159"/>
    <w:bookmarkStart w:id="161" w:name="ref-tyndall2010"/>
    <w:p>
      <w:pPr>
        <w:pStyle w:val="Bibliography"/>
      </w:pPr>
      <w:r>
        <w:t xml:space="preserve">26.</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60">
        <w:r>
          <w:rPr>
            <w:rStyle w:val="Hyperlink"/>
          </w:rPr>
          <w:t xml:space="preserve">https://dspace.flinders.edu.au/jspui/bitstream/2328/3326/4/AACODS_Checklist.pdf</w:t>
        </w:r>
      </w:hyperlink>
    </w:p>
    <w:bookmarkEnd w:id="161"/>
    <w:bookmarkStart w:id="162" w:name="ref-allison2021"/>
    <w:p>
      <w:pPr>
        <w:pStyle w:val="Bibliography"/>
      </w:pPr>
      <w:r>
        <w:t xml:space="preserve">27.</w:t>
      </w:r>
      <w:r>
        <w:t xml:space="preserve"> </w:t>
      </w:r>
      <w:r>
        <w:t xml:space="preserve">	</w:t>
      </w:r>
      <w:r>
        <w:t xml:space="preserve">Allison DG, Peters H.</w:t>
      </w:r>
      <w:r>
        <w:t xml:space="preserve"> </w:t>
      </w:r>
      <w:r>
        <w:t xml:space="preserve">Root Cause Analysis (RCA) for the Improvement of Healthcare Systems and Patient Safety</w:t>
      </w:r>
      <w:r>
        <w:t xml:space="preserve">. CRC Press; 2021.</w:t>
      </w:r>
      <w:r>
        <w:t xml:space="preserve"> </w:t>
      </w:r>
    </w:p>
    <w:bookmarkEnd w:id="162"/>
    <w:bookmarkStart w:id="163" w:name="ref-soylemez2017"/>
    <w:p>
      <w:pPr>
        <w:pStyle w:val="Bibliography"/>
      </w:pPr>
      <w:r>
        <w:t xml:space="preserve">28.</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2017;19:28–42.</w:t>
      </w:r>
      <w:r>
        <w:t xml:space="preserve"> </w:t>
      </w:r>
    </w:p>
    <w:bookmarkEnd w:id="163"/>
    <w:bookmarkStart w:id="165" w:name="ref-wang2025"/>
    <w:p>
      <w:pPr>
        <w:pStyle w:val="Bibliography"/>
      </w:pPr>
      <w:r>
        <w:t xml:space="preserve">29.</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164">
        <w:r>
          <w:rPr>
            <w:rStyle w:val="Hyperlink"/>
          </w:rPr>
          <w:t xml:space="preserve">https://arxiv.org/abs/2508.08224</w:t>
        </w:r>
      </w:hyperlink>
    </w:p>
    <w:bookmarkEnd w:id="165"/>
    <w:bookmarkStart w:id="167" w:name="ref-openai2025"/>
    <w:p>
      <w:pPr>
        <w:pStyle w:val="Bibliography"/>
      </w:pPr>
      <w:r>
        <w:t xml:space="preserve">30.</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166">
        <w:r>
          <w:rPr>
            <w:rStyle w:val="Hyperlink"/>
          </w:rPr>
          <w:t xml:space="preserve">https://arxiv.org/abs/2505.08775</w:t>
        </w:r>
      </w:hyperlink>
    </w:p>
    <w:bookmarkEnd w:id="167"/>
    <w:bookmarkStart w:id="169" w:name="ref-medagentbench2024"/>
    <w:p>
      <w:pPr>
        <w:pStyle w:val="Bibliography"/>
      </w:pPr>
      <w:r>
        <w:t xml:space="preserve">31.</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168">
        <w:r>
          <w:rPr>
            <w:rStyle w:val="Hyperlink"/>
          </w:rPr>
          <w:t xml:space="preserve">https://ai.nejm.org/doi/full/10.1056/AIdbp2500144</w:t>
        </w:r>
      </w:hyperlink>
    </w:p>
    <w:bookmarkEnd w:id="169"/>
    <w:bookmarkStart w:id="171" w:name="ref-wu2024a"/>
    <w:p>
      <w:pPr>
        <w:pStyle w:val="Bibliography"/>
      </w:pPr>
      <w:r>
        <w:t xml:space="preserve">32.</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170">
        <w:r>
          <w:rPr>
            <w:rStyle w:val="Hyperlink"/>
          </w:rPr>
          <w:t xml:space="preserve">https://www.nature.com/articles/s41746-024-01390-4</w:t>
        </w:r>
      </w:hyperlink>
    </w:p>
    <w:bookmarkEnd w:id="171"/>
    <w:bookmarkStart w:id="173" w:name="ref-blaskovic2025"/>
    <w:p>
      <w:pPr>
        <w:pStyle w:val="Bibliography"/>
      </w:pPr>
      <w:r>
        <w:t xml:space="preserve">33.</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172">
        <w:r>
          <w:rPr>
            <w:rStyle w:val="Hyperlink"/>
          </w:rPr>
          <w:t xml:space="preserve">https://www.mdpi.com/2504-2289/9/10/256</w:t>
        </w:r>
      </w:hyperlink>
    </w:p>
    <w:bookmarkEnd w:id="173"/>
    <w:bookmarkStart w:id="175" w:name="ref-navarro2023"/>
    <w:p>
      <w:pPr>
        <w:pStyle w:val="Bibliography"/>
      </w:pPr>
      <w:r>
        <w:t xml:space="preserve">34.</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174">
        <w:r>
          <w:rPr>
            <w:rStyle w:val="Hyperlink"/>
          </w:rPr>
          <w:t xml:space="preserve">https://www.sciencedirect.com/science/article/pii/S1386505623001405</w:t>
        </w:r>
      </w:hyperlink>
    </w:p>
    <w:bookmarkEnd w:id="175"/>
    <w:bookmarkStart w:id="177" w:name="ref-wang2020"/>
    <w:p>
      <w:pPr>
        <w:pStyle w:val="Bibliography"/>
      </w:pPr>
      <w:r>
        <w:t xml:space="preserve">35.</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176">
        <w:r>
          <w:rPr>
            <w:rStyle w:val="Hyperlink"/>
          </w:rPr>
          <w:t xml:space="preserve">https://arxiv.org/abs/1908.01839</w:t>
        </w:r>
      </w:hyperlink>
    </w:p>
    <w:bookmarkEnd w:id="177"/>
    <w:bookmarkStart w:id="179" w:name="ref-lee2023"/>
    <w:p>
      <w:pPr>
        <w:pStyle w:val="Bibliography"/>
      </w:pPr>
      <w:r>
        <w:t xml:space="preserve">36.</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178">
        <w:r>
          <w:rPr>
            <w:rStyle w:val="Hyperlink"/>
          </w:rPr>
          <w:t xml:space="preserve">https://arxiv.org/abs/2301.07695</w:t>
        </w:r>
      </w:hyperlink>
    </w:p>
    <w:bookmarkEnd w:id="179"/>
    <w:bookmarkStart w:id="181" w:name="ref-sivasubramaniam2024"/>
    <w:p>
      <w:pPr>
        <w:pStyle w:val="Bibliography"/>
      </w:pPr>
      <w:r>
        <w:t xml:space="preserve">37.</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180">
        <w:r>
          <w:rPr>
            <w:rStyle w:val="Hyperlink"/>
          </w:rPr>
          <w:t xml:space="preserve">https://arxiv.org/abs/2411.05521</w:t>
        </w:r>
      </w:hyperlink>
    </w:p>
    <w:bookmarkEnd w:id="181"/>
    <w:bookmarkStart w:id="183" w:name="ref-lee2025"/>
    <w:p>
      <w:pPr>
        <w:pStyle w:val="Bibliography"/>
      </w:pPr>
      <w:r>
        <w:t xml:space="preserve">38.</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182">
        <w:r>
          <w:rPr>
            <w:rStyle w:val="Hyperlink"/>
          </w:rPr>
          <w:t xml:space="preserve">https://arxiv.org/abs/2511.17559</w:t>
        </w:r>
      </w:hyperlink>
    </w:p>
    <w:bookmarkEnd w:id="183"/>
    <w:bookmarkStart w:id="185" w:name="ref-chen2025"/>
    <w:p>
      <w:pPr>
        <w:pStyle w:val="Bibliography"/>
      </w:pPr>
      <w:r>
        <w:t xml:space="preserve">39.</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184">
        <w:r>
          <w:rPr>
            <w:rStyle w:val="Hyperlink"/>
          </w:rPr>
          <w:t xml:space="preserve">https://www.sciencedirect.com/science/article/pii/S0031320324008197</w:t>
        </w:r>
      </w:hyperlink>
    </w:p>
    <w:bookmarkEnd w:id="185"/>
    <w:bookmarkStart w:id="187" w:name="ref-dadi2025"/>
    <w:p>
      <w:pPr>
        <w:pStyle w:val="Bibliography"/>
      </w:pPr>
      <w:r>
        <w:t xml:space="preserve">40.</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186">
        <w:r>
          <w:rPr>
            <w:rStyle w:val="Hyperlink"/>
          </w:rPr>
          <w:t xml:space="preserve">https://al-kindipublisher.com/index.php/jcsts/article/view/9694</w:t>
        </w:r>
      </w:hyperlink>
    </w:p>
    <w:bookmarkEnd w:id="187"/>
    <w:bookmarkStart w:id="189" w:name="ref-yuan2019"/>
    <w:p>
      <w:pPr>
        <w:pStyle w:val="Bibliography"/>
      </w:pPr>
      <w:r>
        <w:t xml:space="preserve">41.</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188">
        <w:r>
          <w:rPr>
            <w:rStyle w:val="Hyperlink"/>
          </w:rPr>
          <w:t xml:space="preserve">https://academic.oup.com/jamia/article-abstract/26/4/294/5308980</w:t>
        </w:r>
      </w:hyperlink>
    </w:p>
    <w:bookmarkEnd w:id="189"/>
    <w:bookmarkStart w:id="191" w:name="ref-park2024"/>
    <w:p>
      <w:pPr>
        <w:pStyle w:val="Bibliography"/>
      </w:pPr>
      <w:r>
        <w:t xml:space="preserve">42.</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190">
        <w:r>
          <w:rPr>
            <w:rStyle w:val="Hyperlink"/>
          </w:rPr>
          <w:t xml:space="preserve">https://www.sciencedirect.com/science/article/pii/S1532046424000650</w:t>
        </w:r>
      </w:hyperlink>
    </w:p>
    <w:bookmarkEnd w:id="191"/>
    <w:bookmarkStart w:id="193" w:name="ref-ipeirotis2025"/>
    <w:p>
      <w:pPr>
        <w:pStyle w:val="Bibliography"/>
      </w:pPr>
      <w:r>
        <w:t xml:space="preserve">43.</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192">
        <w:r>
          <w:rPr>
            <w:rStyle w:val="Hyperlink"/>
          </w:rPr>
          <w:t xml:space="preserve">https://arxiv.org/abs/2511.14718</w:t>
        </w:r>
      </w:hyperlink>
    </w:p>
    <w:bookmarkEnd w:id="193"/>
    <w:bookmarkStart w:id="195" w:name="ref-shah2020"/>
    <w:p>
      <w:pPr>
        <w:pStyle w:val="Bibliography"/>
      </w:pPr>
      <w:r>
        <w:t xml:space="preserve">44.</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194">
        <w:r>
          <w:rPr>
            <w:rStyle w:val="Hyperlink"/>
          </w:rPr>
          <w:t xml:space="preserve">https://dl.acm.org/doi/abs/10.1145/3318464.3389777</w:t>
        </w:r>
      </w:hyperlink>
    </w:p>
    <w:bookmarkEnd w:id="195"/>
    <w:bookmarkStart w:id="197" w:name="ref-safari2014"/>
    <w:p>
      <w:pPr>
        <w:pStyle w:val="Bibliography"/>
      </w:pPr>
      <w:r>
        <w:t xml:space="preserve">45.</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196">
        <w:r>
          <w:rPr>
            <w:rStyle w:val="Hyperlink"/>
          </w:rPr>
          <w:t xml:space="preserve">https://www.sciencedirect.com/science/article/pii/S1532046414001592</w:t>
        </w:r>
      </w:hyperlink>
    </w:p>
    <w:bookmarkEnd w:id="197"/>
    <w:bookmarkStart w:id="199" w:name="ref-han2019"/>
    <w:p>
      <w:pPr>
        <w:pStyle w:val="Bibliography"/>
      </w:pPr>
      <w:r>
        <w:t xml:space="preserve">46.</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198">
        <w:r>
          <w:rPr>
            <w:rStyle w:val="Hyperlink"/>
          </w:rPr>
          <w:t xml:space="preserve">https://medinform.jmir.org/2019/3/e13331</w:t>
        </w:r>
      </w:hyperlink>
    </w:p>
    <w:bookmarkEnd w:id="199"/>
    <w:bookmarkStart w:id="201" w:name="ref-marshan2024"/>
    <w:p>
      <w:pPr>
        <w:pStyle w:val="Bibliography"/>
      </w:pPr>
      <w:r>
        <w:t xml:space="preserve">47.</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200">
        <w:r>
          <w:rPr>
            <w:rStyle w:val="Hyperlink"/>
          </w:rPr>
          <w:t xml:space="preserve">https://www.frontiersin.org/articles/10.3389/fdata.2024.1371680</w:t>
        </w:r>
      </w:hyperlink>
    </w:p>
    <w:bookmarkEnd w:id="201"/>
    <w:bookmarkStart w:id="203" w:name="ref-saha2023"/>
    <w:p>
      <w:pPr>
        <w:pStyle w:val="Bibliography"/>
      </w:pPr>
      <w:r>
        <w:t xml:space="preserve">48.</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202">
        <w:r>
          <w:rPr>
            <w:rStyle w:val="Hyperlink"/>
          </w:rPr>
          <w:t xml:space="preserve">https://www.proquest.com/openview/0d955ee8209664a4447c9995a1b9e721/1?pq-origsite=gscholar&amp;cbl=326365</w:t>
        </w:r>
      </w:hyperlink>
    </w:p>
    <w:bookmarkEnd w:id="203"/>
    <w:bookmarkStart w:id="205" w:name="ref-khandelwal2025"/>
    <w:p>
      <w:pPr>
        <w:pStyle w:val="Bibliography"/>
      </w:pPr>
      <w:r>
        <w:t xml:space="preserve">49.</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204">
        <w:r>
          <w:rPr>
            <w:rStyle w:val="Hyperlink"/>
          </w:rPr>
          <w:t xml:space="preserve">https://sarcouncil.com/2025/06/ai-driven-mainframe-modernization-unlocking-legacy-data-for-cloud-analytics</w:t>
        </w:r>
      </w:hyperlink>
    </w:p>
    <w:bookmarkEnd w:id="205"/>
    <w:bookmarkStart w:id="207" w:name="ref-snowdon2024b"/>
    <w:p>
      <w:pPr>
        <w:pStyle w:val="Bibliography"/>
      </w:pPr>
      <w:r>
        <w:t xml:space="preserve">50.</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206">
        <w:r>
          <w:rPr>
            <w:rStyle w:val="Hyperlink"/>
          </w:rPr>
          <w:t xml:space="preserve">https://legacy.himss.org/news/new-analytics-maturity-adoption-model-pushes-digital-transformation-and-data-driven-decisions</w:t>
        </w:r>
      </w:hyperlink>
    </w:p>
    <w:bookmarkEnd w:id="207"/>
    <w:bookmarkStart w:id="209" w:name="ref-wang2018"/>
    <w:p>
      <w:pPr>
        <w:pStyle w:val="Bibliography"/>
      </w:pPr>
      <w:r>
        <w:t xml:space="preserve">51.</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208">
        <w:r>
          <w:rPr>
            <w:rStyle w:val="Hyperlink"/>
          </w:rPr>
          <w:t xml:space="preserve">https://www.sciencedirect.com/science/article/abs/pii/S0040162516000500</w:t>
        </w:r>
      </w:hyperlink>
    </w:p>
    <w:bookmarkEnd w:id="209"/>
    <w:bookmarkStart w:id="211" w:name="ref-wang2017"/>
    <w:p>
      <w:pPr>
        <w:pStyle w:val="Bibliography"/>
      </w:pPr>
      <w:r>
        <w:t xml:space="preserve">52.</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210">
        <w:r>
          <w:rPr>
            <w:rStyle w:val="Hyperlink"/>
          </w:rPr>
          <w:t xml:space="preserve">https://www.sciencedirect.com/science/article/abs/pii/S0148296316304891</w:t>
        </w:r>
      </w:hyperlink>
    </w:p>
    <w:bookmarkEnd w:id="211"/>
    <w:bookmarkStart w:id="212" w:name="ref-himss2024apac"/>
    <w:p>
      <w:pPr>
        <w:pStyle w:val="Bibliography"/>
      </w:pPr>
      <w:r>
        <w:t xml:space="preserve">53.</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5">
        <w:r>
          <w:rPr>
            <w:rStyle w:val="Hyperlink"/>
          </w:rPr>
          <w:t xml:space="preserve">https://www.healthcareitnews.com/news/asia/himss24-apac-adoption-model-analytics-maturity-gets-facelift</w:t>
        </w:r>
      </w:hyperlink>
    </w:p>
    <w:bookmarkEnd w:id="212"/>
    <w:bookmarkStart w:id="214" w:name="ref-ksa2024"/>
    <w:p>
      <w:pPr>
        <w:pStyle w:val="Bibliography"/>
      </w:pPr>
      <w:r>
        <w:t xml:space="preserve">54.</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213">
        <w:r>
          <w:rPr>
            <w:rStyle w:val="Hyperlink"/>
          </w:rPr>
          <w:t xml:space="preserve">https://medicalbuyer.co.in/2-medical-groups-in-saudi-arabia-achieve-stage-7-digital-maturity/</w:t>
        </w:r>
      </w:hyperlink>
    </w:p>
    <w:bookmarkEnd w:id="214"/>
    <w:bookmarkStart w:id="216" w:name="ref-snowdon2024"/>
    <w:p>
      <w:pPr>
        <w:pStyle w:val="Bibliography"/>
      </w:pPr>
      <w:r>
        <w:t xml:space="preserve">55.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215">
        <w:r>
          <w:rPr>
            <w:rStyle w:val="Hyperlink"/>
          </w:rPr>
          <w:t xml:space="preserve">https://www.jmir.org/2024/1/e56316</w:t>
        </w:r>
      </w:hyperlink>
    </w:p>
    <w:bookmarkEnd w:id="216"/>
    <w:bookmarkStart w:id="218" w:name="ref-snowdon2024a"/>
    <w:p>
      <w:pPr>
        <w:pStyle w:val="Bibliography"/>
      </w:pPr>
      <w:r>
        <w:t xml:space="preserve">56.</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217">
        <w:r>
          <w:rPr>
            <w:rStyle w:val="Hyperlink"/>
          </w:rPr>
          <w:t xml:space="preserve">https://journals.sagepub.com/doi/full/10.1177/23743735241253785</w:t>
        </w:r>
      </w:hyperlink>
    </w:p>
    <w:bookmarkEnd w:id="218"/>
    <w:bookmarkStart w:id="220" w:name="ref-wang2019"/>
    <w:p>
      <w:pPr>
        <w:pStyle w:val="Bibliography"/>
      </w:pPr>
      <w:r>
        <w:t xml:space="preserve">57.</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219">
        <w:r>
          <w:rPr>
            <w:rStyle w:val="Hyperlink"/>
          </w:rPr>
          <w:t xml:space="preserve">https://onlinelibrary.wiley.com/doi/abs/10.1111/1467-8551.12332</w:t>
        </w:r>
      </w:hyperlink>
    </w:p>
    <w:bookmarkEnd w:id="220"/>
    <w:bookmarkStart w:id="222" w:name="ref-gomes2025"/>
    <w:p>
      <w:pPr>
        <w:pStyle w:val="Bibliography"/>
      </w:pPr>
      <w:r>
        <w:t xml:space="preserve">58.</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21">
        <w:r>
          <w:rPr>
            <w:rStyle w:val="Hyperlink"/>
          </w:rPr>
          <w:t xml:space="preserve">https://www.mdpi.com/2227-9032/13/1/1</w:t>
        </w:r>
      </w:hyperlink>
    </w:p>
    <w:bookmarkEnd w:id="222"/>
    <w:bookmarkStart w:id="224" w:name="ref-woods2024"/>
    <w:p>
      <w:pPr>
        <w:pStyle w:val="Bibliography"/>
      </w:pPr>
      <w:r>
        <w:t xml:space="preserve">59.</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23">
        <w:r>
          <w:rPr>
            <w:rStyle w:val="Hyperlink"/>
          </w:rPr>
          <w:t xml:space="preserve">https://www.sciencedirect.com/science/article/pii/S1386505624001916</w:t>
        </w:r>
      </w:hyperlink>
    </w:p>
    <w:bookmarkEnd w:id="224"/>
    <w:bookmarkStart w:id="226" w:name="ref-saintulysse2021"/>
    <w:p>
      <w:pPr>
        <w:pStyle w:val="Bibliography"/>
      </w:pPr>
      <w:r>
        <w:t xml:space="preserve">60.</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25">
        <w:r>
          <w:rPr>
            <w:rStyle w:val="Hyperlink"/>
          </w:rPr>
          <w:t xml:space="preserve">https://scholarworks.waldenu.edu/cgi/viewcontent.cgi?article=12395&amp;context=dissertations</w:t>
        </w:r>
      </w:hyperlink>
    </w:p>
    <w:bookmarkEnd w:id="226"/>
    <w:bookmarkStart w:id="228" w:name="ref-martin2019"/>
    <w:p>
      <w:pPr>
        <w:pStyle w:val="Bibliography"/>
      </w:pPr>
      <w:r>
        <w:t xml:space="preserve">61.</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27">
        <w:r>
          <w:rPr>
            <w:rStyle w:val="Hyperlink"/>
          </w:rPr>
          <w:t xml:space="preserve">https://www.nature.com/articles/s41746-019-0118-9</w:t>
        </w:r>
      </w:hyperlink>
    </w:p>
    <w:bookmarkEnd w:id="228"/>
    <w:bookmarkStart w:id="230" w:name="ref-kamble2019"/>
    <w:p>
      <w:pPr>
        <w:pStyle w:val="Bibliography"/>
      </w:pPr>
      <w:r>
        <w:t xml:space="preserve">62.</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229">
        <w:r>
          <w:rPr>
            <w:rStyle w:val="Hyperlink"/>
          </w:rPr>
          <w:t xml:space="preserve">https://www.tandfonline.com/doi/full/10.1080/20479700.2018.1531606</w:t>
        </w:r>
      </w:hyperlink>
    </w:p>
    <w:bookmarkEnd w:id="230"/>
    <w:bookmarkStart w:id="232" w:name="ref-health2020"/>
    <w:p>
      <w:pPr>
        <w:pStyle w:val="Bibliography"/>
      </w:pPr>
      <w:r>
        <w:t xml:space="preserve">63.</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231">
        <w:r>
          <w:rPr>
            <w:rStyle w:val="Hyperlink"/>
          </w:rPr>
          <w:t xml:space="preserve">https://www.healthcatalyst.com/learn/insights/healthcare-analytics-adoption-model-roadmap-analytic-maturity</w:t>
        </w:r>
      </w:hyperlink>
    </w:p>
    <w:bookmarkEnd w:id="232"/>
    <w:bookmarkStart w:id="234" w:name="ref-bardsley2016"/>
    <w:p>
      <w:pPr>
        <w:pStyle w:val="Bibliography"/>
      </w:pPr>
      <w:r>
        <w:t xml:space="preserve">64.</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33">
        <w:r>
          <w:rPr>
            <w:rStyle w:val="Hyperlink"/>
          </w:rPr>
          <w:t xml:space="preserve">https://www.health.org.uk/publications/understanding-analytical-capability-in-health-care</w:t>
        </w:r>
      </w:hyperlink>
    </w:p>
    <w:bookmarkEnd w:id="234"/>
    <w:bookmarkStart w:id="236" w:name="ref-pesqueira2020"/>
    <w:p>
      <w:pPr>
        <w:pStyle w:val="Bibliography"/>
      </w:pPr>
      <w:r>
        <w:t xml:space="preserve">65.</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35">
        <w:r>
          <w:rPr>
            <w:rStyle w:val="Hyperlink"/>
          </w:rPr>
          <w:t xml:space="preserve">https://link.springer.com/article/10.1007/s10916-020-01665-9</w:t>
        </w:r>
      </w:hyperlink>
    </w:p>
    <w:bookmarkEnd w:id="236"/>
    <w:bookmarkStart w:id="238" w:name="ref-carvalho2019"/>
    <w:p>
      <w:pPr>
        <w:pStyle w:val="Bibliography"/>
      </w:pPr>
      <w:r>
        <w:t xml:space="preserve">66.</w:t>
      </w:r>
      <w:r>
        <w:t xml:space="preserve"> </w:t>
      </w:r>
      <w:r>
        <w:t xml:space="preserve">	</w:t>
      </w:r>
      <w:r>
        <w:t xml:space="preserve">Carvalho JV, Rocha Á, Vasconcelos J.</w:t>
      </w:r>
      <w:r>
        <w:t xml:space="preserve"> </w:t>
      </w:r>
      <w:hyperlink r:id="rId237">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38"/>
    <w:bookmarkStart w:id="239" w:name="ref-pintovalverde2013"/>
    <w:p>
      <w:pPr>
        <w:pStyle w:val="Bibliography"/>
      </w:pPr>
      <w:r>
        <w:t xml:space="preserve">67.</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239"/>
    <w:bookmarkStart w:id="240" w:name="ref-gokalp2023"/>
    <w:p>
      <w:pPr>
        <w:pStyle w:val="Bibliography"/>
      </w:pPr>
      <w:r>
        <w:t xml:space="preserve">68.</w:t>
      </w:r>
      <w:r>
        <w:t xml:space="preserve"> </w:t>
      </w:r>
      <w:r>
        <w:t xml:space="preserve">	</w:t>
      </w:r>
      <w:r>
        <w:t xml:space="preserve">Gökalp MO, Gökalp E, Gökalp S.</w:t>
      </w:r>
      <w:r>
        <w:t xml:space="preserve"> </w:t>
      </w:r>
      <w:r>
        <w:t xml:space="preserve">The development of data analytics maturity assessment framework: DAMAF</w:t>
      </w:r>
      <w:r>
        <w:t xml:space="preserve">. Journal of Software: Evolution and Process. 2023;35(4):e2448.</w:t>
      </w:r>
      <w:r>
        <w:t xml:space="preserve"> </w:t>
      </w:r>
    </w:p>
    <w:bookmarkEnd w:id="240"/>
    <w:bookmarkStart w:id="241" w:name="ref-lismont2017"/>
    <w:p>
      <w:pPr>
        <w:pStyle w:val="Bibliography"/>
      </w:pPr>
      <w:r>
        <w:t xml:space="preserve">69.</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241"/>
    <w:bookmarkStart w:id="242" w:name="ref-yang2021"/>
    <w:p>
      <w:pPr>
        <w:pStyle w:val="Bibliography"/>
      </w:pPr>
      <w:r>
        <w:t xml:space="preserve">70.</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242"/>
    <w:bookmarkStart w:id="243" w:name="ref-arts2002"/>
    <w:p>
      <w:pPr>
        <w:pStyle w:val="Bibliography"/>
      </w:pPr>
      <w:r>
        <w:t xml:space="preserve">71.</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243"/>
    <w:bookmarkStart w:id="244" w:name="ref-mccoy2013"/>
    <w:p>
      <w:pPr>
        <w:pStyle w:val="Bibliography"/>
      </w:pPr>
      <w:r>
        <w:t xml:space="preserve">72.</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244"/>
    <w:bookmarkStart w:id="245" w:name="ref-rahman2020"/>
    <w:p>
      <w:pPr>
        <w:pStyle w:val="Bibliography"/>
      </w:pPr>
      <w:r>
        <w:t xml:space="preserve">73.</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245"/>
    <w:bookmarkStart w:id="246" w:name="ref-sirgo2018"/>
    <w:p>
      <w:pPr>
        <w:pStyle w:val="Bibliography"/>
      </w:pPr>
      <w:r>
        <w:t xml:space="preserve">74.</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46"/>
    <w:bookmarkStart w:id="247" w:name="ref-shi2021"/>
    <w:p>
      <w:pPr>
        <w:pStyle w:val="Bibliography"/>
      </w:pPr>
      <w:r>
        <w:t xml:space="preserve">75.</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47"/>
    <w:bookmarkStart w:id="248" w:name="ref-dugas2016"/>
    <w:p>
      <w:pPr>
        <w:pStyle w:val="Bibliography"/>
      </w:pPr>
      <w:r>
        <w:t xml:space="preserve">76.</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48"/>
    <w:bookmarkStart w:id="249" w:name="ref-bokov2017"/>
    <w:p>
      <w:pPr>
        <w:pStyle w:val="Bibliography"/>
      </w:pPr>
      <w:r>
        <w:t xml:space="preserve">77.</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49"/>
    <w:bookmarkStart w:id="250" w:name="ref-ulrich2022"/>
    <w:p>
      <w:pPr>
        <w:pStyle w:val="Bibliography"/>
      </w:pPr>
      <w:r>
        <w:t xml:space="preserve">78.</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50"/>
    <w:bookmarkStart w:id="251" w:name="ref-lucyk2017"/>
    <w:p>
      <w:pPr>
        <w:pStyle w:val="Bibliography"/>
      </w:pPr>
      <w:r>
        <w:t xml:space="preserve">79.</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51"/>
    <w:bookmarkStart w:id="252" w:name="ref-hovenga2013"/>
    <w:p>
      <w:pPr>
        <w:pStyle w:val="Bibliography"/>
      </w:pPr>
      <w:r>
        <w:t xml:space="preserve">80.</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52"/>
    <w:bookmarkStart w:id="254" w:name="ref-wu2024"/>
    <w:p>
      <w:pPr>
        <w:pStyle w:val="Bibliography"/>
      </w:pPr>
      <w:r>
        <w:t xml:space="preserve">81.</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53">
        <w:r>
          <w:rPr>
            <w:rStyle w:val="Hyperlink"/>
          </w:rPr>
          <w:t xml:space="preserve">https://pmc.ncbi.nlm.nih.gov/articles/PMC10802134/</w:t>
        </w:r>
      </w:hyperlink>
    </w:p>
    <w:bookmarkEnd w:id="254"/>
    <w:bookmarkStart w:id="256" w:name="ref-ren2024"/>
    <w:p>
      <w:pPr>
        <w:pStyle w:val="Bibliography"/>
      </w:pPr>
      <w:r>
        <w:t xml:space="preserve">82.</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55">
        <w:r>
          <w:rPr>
            <w:rStyle w:val="Hyperlink"/>
          </w:rPr>
          <w:t xml:space="preserve">https://pmc.ncbi.nlm.nih.gov/articles/PMC11919231/</w:t>
        </w:r>
      </w:hyperlink>
    </w:p>
    <w:bookmarkEnd w:id="256"/>
    <w:bookmarkStart w:id="258" w:name="ref-massingham2018"/>
    <w:p>
      <w:pPr>
        <w:pStyle w:val="Bibliography"/>
      </w:pPr>
      <w:r>
        <w:t xml:space="preserve">83.</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257">
        <w:r>
          <w:rPr>
            <w:rStyle w:val="Hyperlink"/>
          </w:rPr>
          <w:t xml:space="preserve">https://doi.org/10.1108/JKM-08-2016-0338</w:t>
        </w:r>
      </w:hyperlink>
    </w:p>
    <w:bookmarkEnd w:id="258"/>
    <w:bookmarkStart w:id="260" w:name="ref-jones2005"/>
    <w:p>
      <w:pPr>
        <w:pStyle w:val="Bibliography"/>
      </w:pPr>
      <w:r>
        <w:t xml:space="preserve">84.</w:t>
      </w:r>
      <w:r>
        <w:t xml:space="preserve"> </w:t>
      </w:r>
      <w:r>
        <w:t xml:space="preserve">	</w:t>
      </w:r>
      <w:r>
        <w:t xml:space="preserve">Jones CB.</w:t>
      </w:r>
      <w:r>
        <w:t xml:space="preserve"> </w:t>
      </w:r>
      <w:r>
        <w:t xml:space="preserve">The costs of nurse turnover, Part 2: Application of the nursing turnover cost calculation methodology</w:t>
      </w:r>
      <w:r>
        <w:t xml:space="preserve">. Journal of Nursing Administration [Internet]. 2005; Available from:</w:t>
      </w:r>
      <w:r>
        <w:t xml:space="preserve"> </w:t>
      </w:r>
      <w:hyperlink r:id="rId259">
        <w:r>
          <w:rPr>
            <w:rStyle w:val="Hyperlink"/>
          </w:rPr>
          <w:t xml:space="preserve">https://journals.lww.com/jonajournal/abstract/2005/01000/the_costs_of_nurse_turnover__part_2__application.14.aspx</w:t>
        </w:r>
      </w:hyperlink>
    </w:p>
    <w:bookmarkEnd w:id="260"/>
    <w:bookmarkStart w:id="262" w:name="ref-willardgrace2019"/>
    <w:p>
      <w:pPr>
        <w:pStyle w:val="Bibliography"/>
      </w:pPr>
      <w:r>
        <w:t xml:space="preserve">85.</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61">
        <w:r>
          <w:rPr>
            <w:rStyle w:val="Hyperlink"/>
          </w:rPr>
          <w:t xml:space="preserve">https://www.annfammed.org/content/17/1/36</w:t>
        </w:r>
      </w:hyperlink>
    </w:p>
    <w:bookmarkEnd w:id="262"/>
    <w:bookmarkStart w:id="264" w:name="ref-melnick2021"/>
    <w:p>
      <w:pPr>
        <w:pStyle w:val="Bibliography"/>
      </w:pPr>
      <w:r>
        <w:t xml:space="preserve">86.</w:t>
      </w:r>
      <w:r>
        <w:t xml:space="preserve"> </w:t>
      </w:r>
      <w:r>
        <w:t xml:space="preserve">	</w:t>
      </w:r>
      <w:r>
        <w:t xml:space="preserve">Melnick F E. R.</w:t>
      </w:r>
      <w:r>
        <w:t xml:space="preserve"> </w:t>
      </w:r>
      <w:r>
        <w:t xml:space="preserve">Analysis of electronic health record use and clinical productivity and their association with physician turnover</w:t>
      </w:r>
      <w:r>
        <w:t xml:space="preserve">.</w:t>
      </w:r>
      <w:r>
        <w:t xml:space="preserve"> </w:t>
      </w:r>
      <w:r>
        <w:t xml:space="preserve">JAMA</w:t>
      </w:r>
      <w:r>
        <w:t xml:space="preserve"> </w:t>
      </w:r>
      <w:r>
        <w:t xml:space="preserve">Network Open [Internet]. 2021; Available from:</w:t>
      </w:r>
      <w:r>
        <w:t xml:space="preserve"> </w:t>
      </w:r>
      <w:hyperlink r:id="rId263">
        <w:r>
          <w:rPr>
            <w:rStyle w:val="Hyperlink"/>
          </w:rPr>
          <w:t xml:space="preserve">https://jamanetwork.com/journals/jamanetworkopen/fullarticle/2784810</w:t>
        </w:r>
      </w:hyperlink>
    </w:p>
    <w:bookmarkEnd w:id="264"/>
    <w:bookmarkStart w:id="266" w:name="ref-oracle2024"/>
    <w:p>
      <w:pPr>
        <w:pStyle w:val="Bibliography"/>
      </w:pPr>
      <w:r>
        <w:t xml:space="preserve">87.</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265">
        <w:r>
          <w:rPr>
            <w:rStyle w:val="Hyperlink"/>
          </w:rPr>
          <w:t xml:space="preserve">https://www.oracle.com/human-capital-management/cost-employee-turnover-healthcare/</w:t>
        </w:r>
      </w:hyperlink>
    </w:p>
    <w:bookmarkEnd w:id="266"/>
    <w:bookmarkStart w:id="268" w:name="ref-ledikwe2013"/>
    <w:p>
      <w:pPr>
        <w:pStyle w:val="Bibliography"/>
      </w:pPr>
      <w:r>
        <w:t xml:space="preserve">88.</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67">
        <w:r>
          <w:rPr>
            <w:rStyle w:val="Hyperlink"/>
          </w:rPr>
          <w:t xml:space="preserve">https://human-resources-health.biomedcentral.com/articles/10.1186/1478-4491-11-35</w:t>
        </w:r>
      </w:hyperlink>
    </w:p>
    <w:bookmarkEnd w:id="268"/>
    <w:bookmarkStart w:id="270" w:name="ref-mantas2010"/>
    <w:p>
      <w:pPr>
        <w:pStyle w:val="Bibliography"/>
      </w:pPr>
      <w:r>
        <w:t xml:space="preserve">89.</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69">
        <w:r>
          <w:rPr>
            <w:rStyle w:val="Hyperlink"/>
          </w:rPr>
          <w:t xml:space="preserve">https://pubmed.ncbi.nlm.nih.gov/20054502/</w:t>
        </w:r>
      </w:hyperlink>
    </w:p>
    <w:bookmarkEnd w:id="270"/>
    <w:bookmarkStart w:id="272" w:name="ref-musa2023"/>
    <w:p>
      <w:pPr>
        <w:pStyle w:val="Bibliography"/>
      </w:pPr>
      <w:r>
        <w:t xml:space="preserve">90.</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71">
        <w:r>
          <w:rPr>
            <w:rStyle w:val="Hyperlink"/>
          </w:rPr>
          <w:t xml:space="preserve">https://pmc.ncbi.nlm.nih.gov/articles/PMC10243608/</w:t>
        </w:r>
      </w:hyperlink>
    </w:p>
    <w:bookmarkEnd w:id="272"/>
    <w:bookmarkStart w:id="274" w:name="ref-konrad2022"/>
    <w:p>
      <w:pPr>
        <w:pStyle w:val="Bibliography"/>
      </w:pPr>
      <w:r>
        <w:t xml:space="preserve">91.</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73">
        <w:r>
          <w:rPr>
            <w:rStyle w:val="Hyperlink"/>
          </w:rPr>
          <w:t xml:space="preserve">https://www.diva-portal.org/smash/record.jsf?pid=diva2:1684142</w:t>
        </w:r>
      </w:hyperlink>
    </w:p>
    <w:bookmarkEnd w:id="274"/>
    <w:bookmarkStart w:id="276" w:name="ref-rangachari2020"/>
    <w:p>
      <w:pPr>
        <w:pStyle w:val="Bibliography"/>
      </w:pPr>
      <w:r>
        <w:t xml:space="preserve">92.</w:t>
      </w:r>
      <w:r>
        <w:t xml:space="preserve"> </w:t>
      </w:r>
      <w:r>
        <w:t xml:space="preserve">	</w:t>
      </w:r>
      <w:r>
        <w:t xml:space="preserve">Rangachari &amp;W P.</w:t>
      </w:r>
      <w:r>
        <w:t xml:space="preserve"> </w:t>
      </w:r>
      <w:r>
        <w:t xml:space="preserve">Preserving organizational resilience, patient safety, and staff retention during COVID-19 requires a holistic consideration of the psychological safety of healthcare workers</w:t>
      </w:r>
      <w:r>
        <w:t xml:space="preserve">. International Journal of Environmental Research and Public Health [Internet]. 2020; Available from:</w:t>
      </w:r>
      <w:r>
        <w:t xml:space="preserve"> </w:t>
      </w:r>
      <w:hyperlink r:id="rId275">
        <w:r>
          <w:rPr>
            <w:rStyle w:val="Hyperlink"/>
          </w:rPr>
          <w:t xml:space="preserve">https://www.mdpi.com/1660-4601/17/12/4267</w:t>
        </w:r>
      </w:hyperlink>
    </w:p>
    <w:bookmarkEnd w:id="276"/>
    <w:bookmarkStart w:id="278" w:name="ref-bae2010"/>
    <w:p>
      <w:pPr>
        <w:pStyle w:val="Bibliography"/>
      </w:pPr>
      <w:r>
        <w:t xml:space="preserve">93.</w:t>
      </w:r>
      <w:r>
        <w:t xml:space="preserve"> </w:t>
      </w:r>
      <w:r>
        <w:t xml:space="preserve">	</w:t>
      </w:r>
      <w:r>
        <w:t xml:space="preserve">Bae M S. H.</w:t>
      </w:r>
      <w:r>
        <w:t xml:space="preserve"> </w:t>
      </w:r>
      <w:r>
        <w:t xml:space="preserve">Impact of nursing unit turnover on patient outcomes in hospitals</w:t>
      </w:r>
      <w:r>
        <w:t xml:space="preserve">. Journal of Nursing Scholarship [Internet]. 2010; Available from:</w:t>
      </w:r>
      <w:r>
        <w:t xml:space="preserve"> </w:t>
      </w:r>
      <w:hyperlink r:id="rId277">
        <w:r>
          <w:rPr>
            <w:rStyle w:val="Hyperlink"/>
          </w:rPr>
          <w:t xml:space="preserve">https://onlinelibrary.wiley.com/doi/abs/10.1111/j.1547-5069.2009.01319.x</w:t>
        </w:r>
      </w:hyperlink>
    </w:p>
    <w:bookmarkEnd w:id="278"/>
    <w:bookmarkStart w:id="280" w:name="ref-wakerman2019"/>
    <w:p>
      <w:pPr>
        <w:pStyle w:val="Bibliography"/>
      </w:pPr>
      <w:r>
        <w:t xml:space="preserve">94.</w:t>
      </w:r>
      <w:r>
        <w:t xml:space="preserve"> </w:t>
      </w:r>
      <w:r>
        <w:t xml:space="preserve">	</w:t>
      </w:r>
      <w:r>
        <w:t xml:space="preserve">Wakerman H J.</w:t>
      </w:r>
      <w:r>
        <w:t xml:space="preserve"> </w:t>
      </w:r>
      <w:r>
        <w:t xml:space="preserve">Remote health workforce turnover and retention: What are the policy and practice priorities?</w:t>
      </w:r>
      <w:r>
        <w:t xml:space="preserve"> Human Resources for Health [Internet]. 2019; Available from:</w:t>
      </w:r>
      <w:r>
        <w:t xml:space="preserve"> </w:t>
      </w:r>
      <w:hyperlink r:id="rId279">
        <w:r>
          <w:rPr>
            <w:rStyle w:val="Hyperlink"/>
          </w:rPr>
          <w:t xml:space="preserve">https://human-resources-health.biomedcentral.com/articles/10.1186/s12960-019-0432-y</w:t>
        </w:r>
      </w:hyperlink>
    </w:p>
    <w:bookmarkEnd w:id="280"/>
    <w:bookmarkStart w:id="282" w:name="ref-lahaie2005"/>
    <w:p>
      <w:pPr>
        <w:pStyle w:val="Bibliography"/>
      </w:pPr>
      <w:r>
        <w:t xml:space="preserve">95.</w:t>
      </w:r>
      <w:r>
        <w:t xml:space="preserve"> </w:t>
      </w:r>
      <w:r>
        <w:t xml:space="preserve">	</w:t>
      </w:r>
      <w:r>
        <w:t xml:space="preserve">Lahaie D.</w:t>
      </w:r>
      <w:r>
        <w:t xml:space="preserve"> </w:t>
      </w:r>
      <w:r>
        <w:t xml:space="preserve">The impact of corporate memory loss: What happens when a senior executive leaves?</w:t>
      </w:r>
      <w:r>
        <w:t xml:space="preserve"> Leadership in Health Services [Internet]. 2005; Available from:</w:t>
      </w:r>
      <w:r>
        <w:t xml:space="preserve"> </w:t>
      </w:r>
      <w:hyperlink r:id="rId281">
        <w:r>
          <w:rPr>
            <w:rStyle w:val="Hyperlink"/>
          </w:rPr>
          <w:t xml:space="preserve">https://www.emerald.com/insight/content/doi/10.1108/13660750510611198/full/html</w:t>
        </w:r>
      </w:hyperlink>
    </w:p>
    <w:bookmarkEnd w:id="282"/>
    <w:bookmarkStart w:id="284" w:name="ref-eriksson2022"/>
    <w:p>
      <w:pPr>
        <w:pStyle w:val="Bibliography"/>
      </w:pPr>
      <w:r>
        <w:t xml:space="preserve">96.</w:t>
      </w:r>
      <w:r>
        <w:t xml:space="preserve"> </w:t>
      </w:r>
      <w:r>
        <w:t xml:space="preserve">	</w:t>
      </w:r>
      <w:r>
        <w:t xml:space="preserve">Eriksson A, Vulkan P, Dellve L.</w:t>
      </w:r>
      <w:r>
        <w:t xml:space="preserve"> </w:t>
      </w:r>
      <w:hyperlink r:id="rId283">
        <w:r>
          <w:rPr>
            <w:rStyle w:val="Hyperlink"/>
          </w:rPr>
          <w:t xml:space="preserve">A Case Study of Critical Reasons Behind Hospital Nurses Turnover Due to Challenges Across System Levels</w:t>
        </w:r>
      </w:hyperlink>
      <w:r>
        <w:t xml:space="preserve">. Journal of Multidisciplinary Healthcare. 2022;15:1213–24.</w:t>
      </w:r>
      <w:r>
        <w:t xml:space="preserve"> </w:t>
      </w:r>
    </w:p>
    <w:bookmarkEnd w:id="284"/>
    <w:bookmarkStart w:id="285" w:name="ref-alogaidi2025"/>
    <w:p>
      <w:pPr>
        <w:pStyle w:val="Bibliography"/>
      </w:pPr>
      <w:r>
        <w:t xml:space="preserve">97.</w:t>
      </w:r>
      <w:r>
        <w:t xml:space="preserve"> </w:t>
      </w:r>
      <w:r>
        <w:t xml:space="preserve">	</w:t>
      </w:r>
      <w:r>
        <w:t xml:space="preserve">Al-Ogaidi O.</w:t>
      </w:r>
      <w:r>
        <w:t xml:space="preserve"> </w:t>
      </w:r>
      <w:r>
        <w:t xml:space="preserve">A Lean Six Sigma Perspective on Enhancing Employee Retention and Onboarding Processes</w:t>
      </w:r>
      <w:r>
        <w:t xml:space="preserve"> </w:t>
      </w:r>
      <w:r>
        <w:t xml:space="preserve">[Master’s thesis]. Degree Programme in Industrial Management; 2025.</w:t>
      </w:r>
      <w:r>
        <w:t xml:space="preserve"> </w:t>
      </w:r>
    </w:p>
    <w:bookmarkEnd w:id="285"/>
    <w:bookmarkStart w:id="287" w:name="ref-taner2009"/>
    <w:p>
      <w:pPr>
        <w:pStyle w:val="Bibliography"/>
      </w:pPr>
      <w:r>
        <w:t xml:space="preserve">98.</w:t>
      </w:r>
      <w:r>
        <w:t xml:space="preserve"> </w:t>
      </w:r>
      <w:r>
        <w:t xml:space="preserve">	</w:t>
      </w:r>
      <w:r>
        <w:t xml:space="preserve">Taner M, Sezen B.</w:t>
      </w:r>
      <w:r>
        <w:t xml:space="preserve"> </w:t>
      </w:r>
      <w:hyperlink r:id="rId286">
        <w:r>
          <w:rPr>
            <w:rStyle w:val="Hyperlink"/>
          </w:rPr>
          <w:t xml:space="preserve">An Application of Six Sigma Methodology to Turnover Intentions in Health Care</w:t>
        </w:r>
      </w:hyperlink>
      <w:r>
        <w:t xml:space="preserve">. International Journal of Health Care Quality Assurance. 2009;22(3):252–65.</w:t>
      </w:r>
      <w:r>
        <w:t xml:space="preserve"> </w:t>
      </w:r>
    </w:p>
    <w:bookmarkEnd w:id="287"/>
    <w:bookmarkStart w:id="289" w:name="ref-mayo2016"/>
    <w:p>
      <w:pPr>
        <w:pStyle w:val="Bibliography"/>
      </w:pPr>
      <w:r>
        <w:t xml:space="preserve">99.</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88">
        <w:r>
          <w:rPr>
            <w:rStyle w:val="Hyperlink"/>
          </w:rPr>
          <w:t xml:space="preserve">https://www.redjournal.org/article/S0360-3016(16)00260-1/fulltext</w:t>
        </w:r>
      </w:hyperlink>
    </w:p>
    <w:bookmarkEnd w:id="289"/>
    <w:bookmarkStart w:id="291" w:name="ref-goffin2011"/>
    <w:p>
      <w:pPr>
        <w:pStyle w:val="Bibliography"/>
      </w:pPr>
      <w:r>
        <w:t xml:space="preserve">100.</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90">
        <w:r>
          <w:rPr>
            <w:rStyle w:val="Hyperlink"/>
          </w:rPr>
          <w:t xml:space="preserve">https://onlinelibrary.wiley.com/doi/abs/10.1111/j.1540-5885.2010.00798.x</w:t>
        </w:r>
      </w:hyperlink>
    </w:p>
    <w:bookmarkEnd w:id="291"/>
    <w:bookmarkStart w:id="293" w:name="ref-foos2006"/>
    <w:p>
      <w:pPr>
        <w:pStyle w:val="Bibliography"/>
      </w:pPr>
      <w:r>
        <w:t xml:space="preserve">101.</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292">
        <w:r>
          <w:rPr>
            <w:rStyle w:val="Hyperlink"/>
          </w:rPr>
          <w:t xml:space="preserve">https://www.emerald.com/insight/content/doi/10.1108/13673270610650067/full/html</w:t>
        </w:r>
      </w:hyperlink>
    </w:p>
    <w:bookmarkEnd w:id="293"/>
    <w:bookmarkStart w:id="295" w:name="ref-goffin2010"/>
    <w:p>
      <w:pPr>
        <w:pStyle w:val="Bibliography"/>
      </w:pPr>
      <w:r>
        <w:t xml:space="preserve">102.</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94">
        <w:r>
          <w:rPr>
            <w:rStyle w:val="Hyperlink"/>
          </w:rPr>
          <w:t xml:space="preserve">https://www.tandfonline.com/doi/abs/10.1080/08956308.2010.11657637</w:t>
        </w:r>
      </w:hyperlink>
    </w:p>
    <w:bookmarkEnd w:id="295"/>
    <w:bookmarkStart w:id="297" w:name="ref-rintala2006"/>
    <w:p>
      <w:pPr>
        <w:pStyle w:val="Bibliography"/>
      </w:pPr>
      <w:r>
        <w:t xml:space="preserve">103.</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96">
        <w:r>
          <w:rPr>
            <w:rStyle w:val="Hyperlink"/>
          </w:rPr>
          <w:t xml:space="preserve">https://www.inderscienceonline.com/doi/abs/10.1504/IJNKM.2006.009880</w:t>
        </w:r>
      </w:hyperlink>
    </w:p>
    <w:bookmarkEnd w:id="297"/>
    <w:bookmarkStart w:id="299" w:name="ref-shahbaz2019"/>
    <w:p>
      <w:pPr>
        <w:pStyle w:val="Bibliography"/>
      </w:pPr>
      <w:r>
        <w:t xml:space="preserve">104.</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298">
        <w:r>
          <w:rPr>
            <w:rStyle w:val="Hyperlink"/>
          </w:rPr>
          <w:t xml:space="preserve">https://journalofbigdata.springeropen.com/articles/10.1186/s40537-019-0170-y</w:t>
        </w:r>
      </w:hyperlink>
    </w:p>
    <w:bookmarkEnd w:id="299"/>
    <w:bookmarkStart w:id="300" w:name="ref-syed2025"/>
    <w:p>
      <w:pPr>
        <w:pStyle w:val="Bibliography"/>
      </w:pPr>
      <w:r>
        <w:t xml:space="preserve">105.</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Syed Publication; 2025.</w:t>
      </w:r>
      <w:r>
        <w:t xml:space="preserve"> </w:t>
      </w:r>
    </w:p>
    <w:bookmarkEnd w:id="300"/>
    <w:bookmarkStart w:id="302" w:name="ref-samimi2025"/>
    <w:p>
      <w:pPr>
        <w:pStyle w:val="Bibliography"/>
      </w:pPr>
      <w:r>
        <w:t xml:space="preserve">106.</w:t>
      </w:r>
      <w:r>
        <w:t xml:space="preserve"> </w:t>
      </w:r>
      <w:r>
        <w:t xml:space="preserve">	</w:t>
      </w:r>
      <w:r>
        <w:t xml:space="preserve">Samimi R, Bhattacharya A, Gosak L, Stiglic G, Verbert K.</w:t>
      </w:r>
      <w:r>
        <w:t xml:space="preserve"> </w:t>
      </w:r>
      <w:hyperlink r:id="rId301">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302"/>
    <w:bookmarkStart w:id="304" w:name="ref-ruoff2023"/>
    <w:p>
      <w:pPr>
        <w:pStyle w:val="Bibliography"/>
      </w:pPr>
      <w:r>
        <w:t xml:space="preserve">107.</w:t>
      </w:r>
      <w:r>
        <w:t xml:space="preserve"> </w:t>
      </w:r>
      <w:r>
        <w:t xml:space="preserve">	</w:t>
      </w:r>
      <w:r>
        <w:t xml:space="preserve">Ruoff M, Gnewuch U, Maedche A, Scheibehenne B.</w:t>
      </w:r>
      <w:r>
        <w:t xml:space="preserve"> </w:t>
      </w:r>
      <w:hyperlink r:id="rId303">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304"/>
    <w:bookmarkStart w:id="305" w:name="ref-chowdhury2020"/>
    <w:p>
      <w:pPr>
        <w:pStyle w:val="Bibliography"/>
      </w:pPr>
      <w:r>
        <w:t xml:space="preserve">108.</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2020;</w:t>
      </w:r>
      <w:r>
        <w:t xml:space="preserve"> </w:t>
      </w:r>
    </w:p>
    <w:bookmarkEnd w:id="305"/>
    <w:bookmarkStart w:id="306" w:name="ref-holmes2019"/>
    <w:p>
      <w:pPr>
        <w:pStyle w:val="Bibliography"/>
      </w:pPr>
      <w:r>
        <w:t xml:space="preserve">109.</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2019.</w:t>
      </w:r>
      <w:r>
        <w:t xml:space="preserve"> </w:t>
      </w:r>
    </w:p>
    <w:bookmarkEnd w:id="306"/>
    <w:bookmarkStart w:id="308" w:name="ref-milneives2020"/>
    <w:p>
      <w:pPr>
        <w:pStyle w:val="Bibliography"/>
      </w:pPr>
      <w:r>
        <w:t xml:space="preserve">110.</w:t>
      </w:r>
      <w:r>
        <w:t xml:space="preserve"> </w:t>
      </w:r>
      <w:r>
        <w:t xml:space="preserve">	</w:t>
      </w:r>
      <w:r>
        <w:t xml:space="preserve">Milne-Ives DC M.</w:t>
      </w:r>
      <w:r>
        <w:t xml:space="preserve"> </w:t>
      </w:r>
      <w:r>
        <w:t xml:space="preserve">The effectiveness of artificial intelligence conversational agents in health care: systematic review</w:t>
      </w:r>
      <w:r>
        <w:t xml:space="preserve">. Journal of Medical Internet Research [Internet]. 2020; Available from:</w:t>
      </w:r>
      <w:r>
        <w:t xml:space="preserve"> </w:t>
      </w:r>
      <w:hyperlink r:id="rId307">
        <w:r>
          <w:rPr>
            <w:rStyle w:val="Hyperlink"/>
          </w:rPr>
          <w:t xml:space="preserve">https://www.jmir.org/2020/10/e20346/</w:t>
        </w:r>
      </w:hyperlink>
    </w:p>
    <w:bookmarkEnd w:id="308"/>
    <w:bookmarkStart w:id="310" w:name="ref-li2023"/>
    <w:p>
      <w:pPr>
        <w:pStyle w:val="Bibliography"/>
      </w:pPr>
      <w:r>
        <w:t xml:space="preserve">111.</w:t>
      </w:r>
      <w:r>
        <w:t xml:space="preserve"> </w:t>
      </w:r>
      <w:r>
        <w:t xml:space="preserve">	</w:t>
      </w:r>
      <w:r>
        <w:t xml:space="preserve">Li L Y.</w:t>
      </w:r>
      <w:r>
        <w:t xml:space="preserve"> </w:t>
      </w:r>
      <w:r>
        <w:t xml:space="preserve">Feasibility and effectiveness of artificial intelligence-driven conversational agents in healthcare interventions: A systematic review of randomized controlled trials</w:t>
      </w:r>
      <w:r>
        <w:t xml:space="preserve">. International Journal of Medical Informatics [Internet]. 2023; Available from:</w:t>
      </w:r>
      <w:r>
        <w:t xml:space="preserve"> </w:t>
      </w:r>
      <w:hyperlink r:id="rId309">
        <w:r>
          <w:rPr>
            <w:rStyle w:val="Hyperlink"/>
          </w:rPr>
          <w:t xml:space="preserve">https://www.sciencedirect.com/science/article/pii/S1386505623001296</w:t>
        </w:r>
      </w:hyperlink>
    </w:p>
    <w:bookmarkEnd w:id="310"/>
    <w:bookmarkStart w:id="312" w:name="ref-rollwage2023"/>
    <w:p>
      <w:pPr>
        <w:pStyle w:val="Bibliography"/>
      </w:pPr>
      <w:r>
        <w:t xml:space="preserve">112.</w:t>
      </w:r>
      <w:r>
        <w:t xml:space="preserve"> </w:t>
      </w:r>
      <w:r>
        <w:t xml:space="preserve">	</w:t>
      </w:r>
      <w:r>
        <w:t xml:space="preserve">Rollwage H M.</w:t>
      </w:r>
      <w:r>
        <w:t xml:space="preserve"> </w:t>
      </w:r>
      <w:r>
        <w:t xml:space="preserve">Using conversational</w:t>
      </w:r>
      <w:r>
        <w:t xml:space="preserve"> </w:t>
      </w:r>
      <w:r>
        <w:t xml:space="preserve">AI</w:t>
      </w:r>
      <w:r>
        <w:t xml:space="preserve"> </w:t>
      </w:r>
      <w:r>
        <w:t xml:space="preserve">to facilitate mental health assessments and improve clinical efficiency within psychotherapy services: real-world observational study</w:t>
      </w:r>
      <w:r>
        <w:t xml:space="preserve">.</w:t>
      </w:r>
      <w:r>
        <w:t xml:space="preserve"> </w:t>
      </w:r>
      <w:r>
        <w:t xml:space="preserve">JMIR</w:t>
      </w:r>
      <w:r>
        <w:t xml:space="preserve"> </w:t>
      </w:r>
      <w:r>
        <w:t xml:space="preserve">AI</w:t>
      </w:r>
      <w:r>
        <w:t xml:space="preserve"> </w:t>
      </w:r>
      <w:r>
        <w:t xml:space="preserve">[Internet]. 2023; Available from:</w:t>
      </w:r>
      <w:r>
        <w:t xml:space="preserve"> </w:t>
      </w:r>
      <w:hyperlink r:id="rId311">
        <w:r>
          <w:rPr>
            <w:rStyle w:val="Hyperlink"/>
          </w:rPr>
          <w:t xml:space="preserve">https://ai.jmir.org/2023/1/e44358</w:t>
        </w:r>
      </w:hyperlink>
    </w:p>
    <w:bookmarkEnd w:id="312"/>
    <w:bookmarkStart w:id="314" w:name="ref-sezgin2022"/>
    <w:p>
      <w:pPr>
        <w:pStyle w:val="Bibliography"/>
      </w:pPr>
      <w:r>
        <w:t xml:space="preserve">113.</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13">
        <w:r>
          <w:rPr>
            <w:rStyle w:val="Hyperlink"/>
          </w:rPr>
          <w:t xml:space="preserve">https://medinform.jmir.org/2022/2/e32875</w:t>
        </w:r>
      </w:hyperlink>
    </w:p>
    <w:bookmarkEnd w:id="314"/>
    <w:bookmarkStart w:id="316" w:name="ref-jiao2023"/>
    <w:p>
      <w:pPr>
        <w:pStyle w:val="Bibliography"/>
      </w:pPr>
      <w:r>
        <w:t xml:space="preserve">114.</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15">
        <w:r>
          <w:rPr>
            <w:rStyle w:val="Hyperlink"/>
          </w:rPr>
          <w:t xml:space="preserve">https://ieeexplore.ieee.org/document/10297311</w:t>
        </w:r>
      </w:hyperlink>
    </w:p>
    <w:bookmarkEnd w:id="316"/>
    <w:bookmarkStart w:id="318" w:name="ref-dai2023"/>
    <w:p>
      <w:pPr>
        <w:pStyle w:val="Bibliography"/>
      </w:pPr>
      <w:r>
        <w:t xml:space="preserve">115.</w:t>
      </w:r>
      <w:r>
        <w:t xml:space="preserve"> </w:t>
      </w:r>
      <w:r>
        <w:t xml:space="preserve">	</w:t>
      </w:r>
      <w:r>
        <w:t xml:space="preserve">Dai &amp;A T.</w:t>
      </w:r>
      <w:r>
        <w:t xml:space="preserve"> </w:t>
      </w:r>
      <w:r>
        <w:t xml:space="preserve">Incorporating artificial intelligence into healthcare workflows: Models and insights. In</w:t>
      </w:r>
      <w:r>
        <w:t xml:space="preserve">. Tutorials in Operations Research: Advancing the Frontiers of OR/MS [Internet]. 2023; Available from:</w:t>
      </w:r>
      <w:r>
        <w:t xml:space="preserve"> </w:t>
      </w:r>
      <w:hyperlink r:id="rId317">
        <w:r>
          <w:rPr>
            <w:rStyle w:val="Hyperlink"/>
          </w:rPr>
          <w:t xml:space="preserve">https://pubsonline.informs.org/doi/abs/10.1287/educ.2023.0257</w:t>
        </w:r>
      </w:hyperlink>
    </w:p>
    <w:bookmarkEnd w:id="318"/>
    <w:bookmarkStart w:id="320" w:name="ref-berkshire2024"/>
    <w:p>
      <w:pPr>
        <w:pStyle w:val="Bibliography"/>
      </w:pPr>
      <w:r>
        <w:t xml:space="preserve">116.</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319">
        <w:r>
          <w:rPr>
            <w:rStyle w:val="Hyperlink"/>
          </w:rPr>
          <w:t xml:space="preserve">https://ia.berkshirehealthcare.nhs.uk/citizen-developer-programme</w:t>
        </w:r>
      </w:hyperlink>
    </w:p>
    <w:bookmarkEnd w:id="320"/>
    <w:bookmarkStart w:id="322" w:name="ref-elkamouchi2023"/>
    <w:p>
      <w:pPr>
        <w:pStyle w:val="Bibliography"/>
      </w:pPr>
      <w:r>
        <w:t xml:space="preserve">117.</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21">
        <w:r>
          <w:rPr>
            <w:rStyle w:val="Hyperlink"/>
          </w:rPr>
          <w:t xml:space="preserve">https://ieeexplore.ieee.org/abstract/document/10373712/</w:t>
        </w:r>
      </w:hyperlink>
    </w:p>
    <w:bookmarkEnd w:id="322"/>
    <w:bookmarkStart w:id="324" w:name="ref-aveiro2023"/>
    <w:p>
      <w:pPr>
        <w:pStyle w:val="Bibliography"/>
      </w:pPr>
      <w:r>
        <w:t xml:space="preserve">118.</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323">
        <w:r>
          <w:rPr>
            <w:rStyle w:val="Hyperlink"/>
          </w:rPr>
          <w:t xml:space="preserve">https://ieeexplore.ieee.org/document/10186753</w:t>
        </w:r>
      </w:hyperlink>
    </w:p>
    <w:bookmarkEnd w:id="324"/>
    <w:bookmarkStart w:id="326" w:name="ref-forrester2024"/>
    <w:p>
      <w:pPr>
        <w:pStyle w:val="Bibliography"/>
      </w:pPr>
      <w:r>
        <w:t xml:space="preserve">119.</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325">
        <w:r>
          <w:rPr>
            <w:rStyle w:val="Hyperlink"/>
          </w:rPr>
          <w:t xml:space="preserve">https://tei.forrester.com/go/microsoft/powerappstei/?lang=en-us</w:t>
        </w:r>
      </w:hyperlink>
    </w:p>
    <w:bookmarkEnd w:id="326"/>
    <w:bookmarkStart w:id="328" w:name="ref-mogili2025"/>
    <w:p>
      <w:pPr>
        <w:pStyle w:val="Bibliography"/>
      </w:pPr>
      <w:r>
        <w:t xml:space="preserve">120.</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27">
        <w:r>
          <w:rPr>
            <w:rStyle w:val="Hyperlink"/>
          </w:rPr>
          <w:t xml:space="preserve">https://sarcouncil.com/download-article/SJECS-209-_2025-630-636.pdf</w:t>
        </w:r>
      </w:hyperlink>
    </w:p>
    <w:bookmarkEnd w:id="328"/>
    <w:bookmarkStart w:id="330" w:name="ref-pervaiz2025"/>
    <w:p>
      <w:pPr>
        <w:pStyle w:val="Bibliography"/>
      </w:pPr>
      <w:r>
        <w:t xml:space="preserve">121.</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29">
        <w:r>
          <w:rPr>
            <w:rStyle w:val="Hyperlink"/>
          </w:rPr>
          <w:t xml:space="preserve">https://imjstb.com/index.php/Journal/article/view/95</w:t>
        </w:r>
      </w:hyperlink>
    </w:p>
    <w:bookmarkEnd w:id="330"/>
    <w:bookmarkStart w:id="331" w:name="ref-simon2022"/>
    <w:p>
      <w:pPr>
        <w:pStyle w:val="Bibliography"/>
      </w:pPr>
      <w:r>
        <w:t xml:space="preserve">122.</w:t>
      </w:r>
      <w:r>
        <w:t xml:space="preserve"> </w:t>
      </w:r>
      <w:r>
        <w:t xml:space="preserve">	</w:t>
      </w:r>
      <w:r>
        <w:t xml:space="preserve">Simon P.</w:t>
      </w:r>
      <w:r>
        <w:t xml:space="preserve"> </w:t>
      </w:r>
      <w:r>
        <w:t xml:space="preserve">Low-Code/No-Code: Citizen Developers and the Surprising Future of Business Applications</w:t>
      </w:r>
      <w:r>
        <w:t xml:space="preserve">. R Simon; 2022.</w:t>
      </w:r>
      <w:r>
        <w:t xml:space="preserve"> </w:t>
      </w:r>
    </w:p>
    <w:bookmarkEnd w:id="331"/>
    <w:bookmarkStart w:id="333" w:name="ref-hathnagoda2024"/>
    <w:p>
      <w:pPr>
        <w:pStyle w:val="Bibliography"/>
      </w:pPr>
      <w:r>
        <w:t xml:space="preserve">123.</w:t>
      </w:r>
      <w:r>
        <w:t xml:space="preserve"> </w:t>
      </w:r>
      <w:r>
        <w:t xml:space="preserve">	</w:t>
      </w:r>
      <w:r>
        <w:t xml:space="preserve">Hathnagoda H, Wickramarachchi R.</w:t>
      </w:r>
      <w:r>
        <w:t xml:space="preserve"> </w:t>
      </w:r>
      <w:hyperlink r:id="rId332">
        <w:r>
          <w:rPr>
            <w:rStyle w:val="Hyperlink"/>
          </w:rPr>
          <w:t xml:space="preserve">Assessing Security Risks in Low-Code Development Platforms: A Systematic Literature Review</w:t>
        </w:r>
      </w:hyperlink>
      <w:r>
        <w:t xml:space="preserve">. In: 2024 international conference on advances in technology and computing (ICATC). 2024.</w:t>
      </w:r>
      <w:r>
        <w:t xml:space="preserve"> </w:t>
      </w:r>
    </w:p>
    <w:bookmarkEnd w:id="333"/>
    <w:bookmarkStart w:id="334" w:name="ref-viljoen2024"/>
    <w:p>
      <w:pPr>
        <w:pStyle w:val="Bibliography"/>
      </w:pPr>
      <w:r>
        <w:t xml:space="preserve">124.</w:t>
      </w:r>
      <w:r>
        <w:t xml:space="preserve"> </w:t>
      </w:r>
      <w:r>
        <w:t xml:space="preserve">	</w:t>
      </w:r>
      <w:r>
        <w:t xml:space="preserve">Viljoen A, Radić M, Nguyen J, Krcmar H.</w:t>
      </w:r>
      <w:r>
        <w:t xml:space="preserve"> </w:t>
      </w:r>
      <w:r>
        <w:t xml:space="preserve">Governing citizen development to address low-code platform challenges</w:t>
      </w:r>
      <w:r>
        <w:t xml:space="preserve">. In: MISQ executive. 2024.</w:t>
      </w:r>
      <w:r>
        <w:t xml:space="preserve"> </w:t>
      </w:r>
    </w:p>
    <w:bookmarkEnd w:id="334"/>
    <w:bookmarkStart w:id="335" w:name="ref-miyake2023"/>
    <w:p>
      <w:pPr>
        <w:pStyle w:val="Bibliography"/>
      </w:pPr>
      <w:r>
        <w:t xml:space="preserve">125.</w:t>
      </w:r>
      <w:r>
        <w:t xml:space="preserve"> </w:t>
      </w:r>
      <w:r>
        <w:t xml:space="preserve">	</w:t>
      </w:r>
      <w:r>
        <w:t xml:space="preserve">Miyake T, Masuda Y, Oguchi A, Ishida A.</w:t>
      </w:r>
      <w:r>
        <w:t xml:space="preserve"> </w:t>
      </w:r>
      <w:r>
        <w:t xml:space="preserve">Strategic risk management for low-code development platforms with enterprise architecture approach: case of global pharmaceutical enterprise</w:t>
      </w:r>
      <w:r>
        <w:t xml:space="preserve">. In: International KES conference on smart education and e-learning. Springer; 2023.</w:t>
      </w:r>
      <w:r>
        <w:t xml:space="preserve"> </w:t>
      </w:r>
    </w:p>
    <w:bookmarkEnd w:id="335"/>
    <w:bookmarkStart w:id="336" w:name="ref-potharalanka2025"/>
    <w:p>
      <w:pPr>
        <w:pStyle w:val="Bibliography"/>
      </w:pPr>
      <w:r>
        <w:t xml:space="preserve">126.</w:t>
      </w:r>
      <w:r>
        <w:t xml:space="preserve"> </w:t>
      </w:r>
      <w:r>
        <w:t xml:space="preserve">	</w:t>
      </w:r>
      <w:r>
        <w:t xml:space="preserve">Potharalanka L.</w:t>
      </w:r>
      <w:r>
        <w:t xml:space="preserve"> </w:t>
      </w:r>
      <w:r>
        <w:t xml:space="preserve">Low-Code Platforms in Clinical Trial Management: A Digital Transformation</w:t>
      </w:r>
      <w:r>
        <w:t xml:space="preserve">. Journal Of Multidisciplinary. 2025;</w:t>
      </w:r>
      <w:r>
        <w:t xml:space="preserve"> </w:t>
      </w:r>
    </w:p>
    <w:bookmarkEnd w:id="336"/>
    <w:bookmarkStart w:id="338" w:name="ref-pennington2023"/>
    <w:p>
      <w:pPr>
        <w:pStyle w:val="Bibliography"/>
      </w:pPr>
      <w:r>
        <w:t xml:space="preserve">127.</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37">
        <w:r>
          <w:rPr>
            <w:rStyle w:val="Hyperlink"/>
          </w:rPr>
          <w:t xml:space="preserve">https://mds.marshall.edu/etd/1824/</w:t>
        </w:r>
      </w:hyperlink>
    </w:p>
    <w:bookmarkEnd w:id="338"/>
    <w:bookmarkStart w:id="340" w:name="ref-atobatele2023"/>
    <w:p>
      <w:pPr>
        <w:pStyle w:val="Bibliography"/>
      </w:pPr>
      <w:r>
        <w:t xml:space="preserve">128.</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39">
        <w:r>
          <w:rPr>
            <w:rStyle w:val="Hyperlink"/>
          </w:rPr>
          <w:t xml:space="preserve">https://gisrrj.com/paper/GISRRJ236426.pdf</w:t>
        </w:r>
      </w:hyperlink>
    </w:p>
    <w:bookmarkEnd w:id="340"/>
    <w:bookmarkStart w:id="342" w:name="ref-tan2023"/>
    <w:p>
      <w:pPr>
        <w:pStyle w:val="Bibliography"/>
      </w:pPr>
      <w:r>
        <w:t xml:space="preserve">129.</w:t>
      </w:r>
      <w:r>
        <w:t xml:space="preserve"> </w:t>
      </w:r>
      <w:r>
        <w:t xml:space="preserve">	</w:t>
      </w:r>
      <w:r>
        <w:t xml:space="preserve">Tan T J. P. Y.</w:t>
      </w:r>
      <w:r>
        <w:t xml:space="preserve"> </w:t>
      </w:r>
      <w:r>
        <w:t xml:space="preserve">mHealth app to facilitate remote care for patients with COVID-19: rapid development of the DrCovid+ app</w:t>
      </w:r>
      <w:r>
        <w:t xml:space="preserve">.</w:t>
      </w:r>
      <w:r>
        <w:t xml:space="preserve"> </w:t>
      </w:r>
      <w:r>
        <w:t xml:space="preserve">JMIR</w:t>
      </w:r>
      <w:r>
        <w:t xml:space="preserve"> </w:t>
      </w:r>
      <w:r>
        <w:t xml:space="preserve">Formative Research [Internet]. 2023; Available from:</w:t>
      </w:r>
      <w:r>
        <w:t xml:space="preserve"> </w:t>
      </w:r>
      <w:hyperlink r:id="rId341">
        <w:r>
          <w:rPr>
            <w:rStyle w:val="Hyperlink"/>
          </w:rPr>
          <w:t xml:space="preserve">https://formative.jmir.org/2023/1/e38555</w:t>
        </w:r>
      </w:hyperlink>
    </w:p>
    <w:bookmarkEnd w:id="342"/>
    <w:bookmarkStart w:id="344" w:name="ref-precedence2024"/>
    <w:p>
      <w:pPr>
        <w:pStyle w:val="Bibliography"/>
      </w:pPr>
      <w:r>
        <w:t xml:space="preserve">130.</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343">
        <w:r>
          <w:rPr>
            <w:rStyle w:val="Hyperlink"/>
          </w:rPr>
          <w:t xml:space="preserve">https://www.precedenceresearch.com/healthcare-analytics-market</w:t>
        </w:r>
      </w:hyperlink>
    </w:p>
    <w:bookmarkEnd w:id="344"/>
    <w:bookmarkStart w:id="346" w:name="ref-farnese2019"/>
    <w:p>
      <w:pPr>
        <w:pStyle w:val="Bibliography"/>
      </w:pPr>
      <w:r>
        <w:t xml:space="preserve">131.</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345">
        <w:r>
          <w:rPr>
            <w:rStyle w:val="Hyperlink"/>
          </w:rPr>
          <w:t xml:space="preserve">https://www.frontiersin.org/articles/10.3389/fpsyg.2019.02730</w:t>
        </w:r>
      </w:hyperlink>
    </w:p>
    <w:bookmarkEnd w:id="346"/>
    <w:bookmarkStart w:id="348" w:name="ref-zhang2025"/>
    <w:p>
      <w:pPr>
        <w:pStyle w:val="Bibliography"/>
      </w:pPr>
      <w:r>
        <w:t xml:space="preserve">132.</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347">
        <w:r>
          <w:rPr>
            <w:rStyle w:val="Hyperlink"/>
          </w:rPr>
          <w:t xml:space="preserve">https://www.emerald.com/insight/content/doi/10.1108/JKM-03-2024-0262/full/html</w:t>
        </w:r>
      </w:hyperlink>
    </w:p>
    <w:bookmarkEnd w:id="348"/>
    <w:bookmarkStart w:id="350" w:name="ref-zheng2020"/>
    <w:p>
      <w:pPr>
        <w:pStyle w:val="Bibliography"/>
      </w:pPr>
      <w:r>
        <w:t xml:space="preserve">133.</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49">
        <w:r>
          <w:rPr>
            <w:rStyle w:val="Hyperlink"/>
          </w:rPr>
          <w:t xml:space="preserve">https://www.acpjournals.org/doi/10.7326/M19-0871</w:t>
        </w:r>
      </w:hyperlink>
    </w:p>
    <w:bookmarkEnd w:id="350"/>
    <w:bookmarkStart w:id="352" w:name="ref-bogaert2021"/>
    <w:p>
      <w:pPr>
        <w:pStyle w:val="Bibliography"/>
      </w:pPr>
      <w:r>
        <w:t xml:space="preserve">134.</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51">
        <w:r>
          <w:rPr>
            <w:rStyle w:val="Hyperlink"/>
          </w:rPr>
          <w:t xml:space="preserve">https://www.sciencedirect.com/science/article/pii/S0168851021002396</w:t>
        </w:r>
      </w:hyperlink>
    </w:p>
    <w:bookmarkEnd w:id="352"/>
    <w:bookmarkStart w:id="354" w:name="ref-ibm2022"/>
    <w:p>
      <w:pPr>
        <w:pStyle w:val="Bibliography"/>
      </w:pPr>
      <w:r>
        <w:t xml:space="preserve">135.</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353">
        <w:r>
          <w:rPr>
            <w:rStyle w:val="Hyperlink"/>
          </w:rPr>
          <w:t xml:space="preserve">https://newsroom.ibm.com/2022-01-21-Francisco-Partners-to-Acquire-IBMs-Healthcare-Data-and-Analytics-Assets</w:t>
        </w:r>
      </w:hyperlink>
    </w:p>
    <w:bookmarkEnd w:id="354"/>
    <w:bookmarkStart w:id="356" w:name="ref-strickland2019"/>
    <w:p>
      <w:pPr>
        <w:pStyle w:val="Bibliography"/>
      </w:pPr>
      <w:r>
        <w:t xml:space="preserve">136.</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55">
        <w:r>
          <w:rPr>
            <w:rStyle w:val="Hyperlink"/>
          </w:rPr>
          <w:t xml:space="preserve">https://ieeexplore.ieee.org/abstract/document/8678513/</w:t>
        </w:r>
      </w:hyperlink>
    </w:p>
    <w:bookmarkEnd w:id="356"/>
    <w:bookmarkStart w:id="358" w:name="ref-yang2020"/>
    <w:p>
      <w:pPr>
        <w:pStyle w:val="Bibliography"/>
      </w:pPr>
      <w:r>
        <w:t xml:space="preserve">137.</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57">
        <w:r>
          <w:rPr>
            <w:rStyle w:val="Hyperlink"/>
          </w:rPr>
          <w:t xml:space="preserve">https://oulurepo.oulu.fi/bitstream/handle/10024/27921/nbnfi-fe2020050424858.pdf</w:t>
        </w:r>
      </w:hyperlink>
    </w:p>
    <w:bookmarkEnd w:id="358"/>
    <w:bookmarkStart w:id="360" w:name="ref-lavito2021"/>
    <w:p>
      <w:pPr>
        <w:pStyle w:val="Bibliography"/>
      </w:pPr>
      <w:r>
        <w:t xml:space="preserve">138.</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359">
        <w:r>
          <w:rPr>
            <w:rStyle w:val="Hyperlink"/>
          </w:rPr>
          <w:t xml:space="preserve">https://www.cnbc.com/2021/01/04/haven-the-amazon-berkshire-jpmorgan-venture-to-disrupt-healthcare-is-disbanding-after-3-years.html</w:t>
        </w:r>
      </w:hyperlink>
    </w:p>
    <w:bookmarkEnd w:id="360"/>
    <w:bookmarkStart w:id="362" w:name="ref-acchiardo2021"/>
    <w:p>
      <w:pPr>
        <w:pStyle w:val="Bibliography"/>
      </w:pPr>
      <w:r>
        <w:t xml:space="preserve">139.</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61">
        <w:r>
          <w:rPr>
            <w:rStyle w:val="Hyperlink"/>
          </w:rPr>
          <w:t xml:space="preserve">https://www.academicradiology.org/article/S1076-6332(21)00140-9/abstract</w:t>
        </w:r>
      </w:hyperlink>
    </w:p>
    <w:bookmarkEnd w:id="362"/>
    <w:bookmarkStart w:id="364" w:name="ref-ozalp2022"/>
    <w:p>
      <w:pPr>
        <w:pStyle w:val="Bibliography"/>
      </w:pPr>
      <w:r>
        <w:t xml:space="preserve">140.</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63">
        <w:r>
          <w:rPr>
            <w:rStyle w:val="Hyperlink"/>
          </w:rPr>
          <w:t xml:space="preserve">https://journals.sagepub.com/doi/abs/10.1177/00081256221094307</w:t>
        </w:r>
      </w:hyperlink>
    </w:p>
    <w:bookmarkEnd w:id="364"/>
    <w:bookmarkStart w:id="366" w:name="ref-alukal2006"/>
    <w:p>
      <w:pPr>
        <w:pStyle w:val="Bibliography"/>
      </w:pPr>
      <w:r>
        <w:t xml:space="preserve">141.</w:t>
      </w:r>
      <w:r>
        <w:t xml:space="preserve"> </w:t>
      </w:r>
      <w:r>
        <w:t xml:space="preserve">	</w:t>
      </w:r>
      <w:r>
        <w:t xml:space="preserve">Alukal VG, Manos A. Lean kaizen: A simplified approach to process improvement [Internet]. Milwaukee, WI: ASQ Quality Press; 2006. Available from:</w:t>
      </w:r>
      <w:r>
        <w:t xml:space="preserve"> </w:t>
      </w:r>
      <w:hyperlink r:id="rId365">
        <w:r>
          <w:rPr>
            <w:rStyle w:val="Hyperlink"/>
          </w:rPr>
          <w:t xml:space="preserve">https://books.google.com/books?id=9uqiEAAAQBAJ</w:t>
        </w:r>
      </w:hyperlink>
    </w:p>
    <w:bookmarkEnd w:id="366"/>
    <w:bookmarkStart w:id="368" w:name="ref-rao2006"/>
    <w:p>
      <w:pPr>
        <w:pStyle w:val="Bibliography"/>
      </w:pPr>
      <w:r>
        <w:t xml:space="preserve">142.</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367">
        <w:r>
          <w:rPr>
            <w:rStyle w:val="Hyperlink"/>
          </w:rPr>
          <w:t xml:space="preserve">https://onlinelibrary.wiley.com/doi/abs/10.1057/palgrave.emr.1500057</w:t>
        </w:r>
      </w:hyperlink>
    </w:p>
    <w:bookmarkEnd w:id="368"/>
    <w:bookmarkStart w:id="370" w:name="ref-hong2025"/>
    <w:p>
      <w:pPr>
        <w:pStyle w:val="Bibliography"/>
      </w:pPr>
      <w:r>
        <w:t xml:space="preserve">143.</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369">
        <w:r>
          <w:rPr>
            <w:rStyle w:val="Hyperlink"/>
          </w:rPr>
          <w:t xml:space="preserve">https://academic.oup.com/jpart/advance-article-abstract/doi/10.1093/jopart/muaf019/8162522</w:t>
        </w:r>
      </w:hyperlink>
    </w:p>
    <w:bookmarkEnd w:id="370"/>
    <w:bookmarkStart w:id="372" w:name="ref-mannapur2025"/>
    <w:p>
      <w:pPr>
        <w:pStyle w:val="Bibliography"/>
      </w:pPr>
      <w:r>
        <w:t xml:space="preserve">144.</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71">
        <w:r>
          <w:rPr>
            <w:rStyle w:val="Hyperlink"/>
          </w:rPr>
          <w:t xml:space="preserve">https://www.quantbeckman.com/api/v1/file/5b240742-bf0d-4f8c-a0f9-cb29fab42611.pdf</w:t>
        </w:r>
      </w:hyperlink>
    </w:p>
    <w:bookmarkEnd w:id="372"/>
    <w:bookmarkStart w:id="374" w:name="ref-yupopa2005"/>
    <w:p>
      <w:pPr>
        <w:pStyle w:val="Bibliography"/>
      </w:pPr>
      <w:r>
        <w:t xml:space="preserve">145.</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73">
        <w:r>
          <w:rPr>
            <w:rStyle w:val="Hyperlink"/>
          </w:rPr>
          <w:t xml:space="preserve">https://mail.vldb.org/archives/website/2005/program/paper/fri/p1006-yu.pdf</w:t>
        </w:r>
      </w:hyperlink>
    </w:p>
    <w:bookmarkEnd w:id="374"/>
    <w:bookmarkStart w:id="376" w:name="ref-oliveira2023"/>
    <w:p>
      <w:pPr>
        <w:pStyle w:val="Bibliography"/>
      </w:pPr>
      <w:r>
        <w:t xml:space="preserve">146.</w:t>
      </w:r>
      <w:r>
        <w:t xml:space="preserve"> </w:t>
      </w:r>
      <w:r>
        <w:t xml:space="preserve">	</w:t>
      </w:r>
      <w:r>
        <w:t xml:space="preserve">Oliveira MAP et al. Semantic modelling for enterprise data governance 4.0. arXiv preprint arXiv:231102082 [Internet]. 2023; Available from:</w:t>
      </w:r>
      <w:r>
        <w:t xml:space="preserve"> </w:t>
      </w:r>
      <w:hyperlink r:id="rId375">
        <w:r>
          <w:rPr>
            <w:rStyle w:val="Hyperlink"/>
          </w:rPr>
          <w:t xml:space="preserve">https://arxiv.org/pdf/2311.02082</w:t>
        </w:r>
      </w:hyperlink>
    </w:p>
    <w:bookmarkEnd w:id="376"/>
    <w:bookmarkStart w:id="377" w:name="ref-sivaranjani2025"/>
    <w:p>
      <w:pPr>
        <w:pStyle w:val="Bibliography"/>
      </w:pPr>
      <w:r>
        <w:t xml:space="preserve">147.</w:t>
      </w:r>
      <w:r>
        <w:t xml:space="preserve"> </w:t>
      </w:r>
      <w:r>
        <w:t xml:space="preserve">	</w:t>
      </w:r>
      <w:r>
        <w:t xml:space="preserve">Sivaranjani S, Tharunika V.</w:t>
      </w:r>
      <w:r>
        <w:t xml:space="preserve"> </w:t>
      </w:r>
      <w:r>
        <w:t xml:space="preserve">Semantic Web for Addressing Data Integration Challenges</w:t>
      </w:r>
      <w:r>
        <w:t xml:space="preserve">. Taylor &amp; Francis; 2025.</w:t>
      </w:r>
      <w:r>
        <w:t xml:space="preserve"> </w:t>
      </w:r>
    </w:p>
    <w:bookmarkEnd w:id="377"/>
    <w:bookmarkStart w:id="379" w:name="ref-battula2025"/>
    <w:p>
      <w:pPr>
        <w:pStyle w:val="Bibliography"/>
      </w:pPr>
      <w:r>
        <w:t xml:space="preserve">148.</w:t>
      </w:r>
      <w:r>
        <w:t xml:space="preserve"> </w:t>
      </w:r>
      <w:r>
        <w:t xml:space="preserve">	</w:t>
      </w:r>
      <w:r>
        <w:t xml:space="preserve">Battula SKY.</w:t>
      </w:r>
      <w:r>
        <w:t xml:space="preserve"> </w:t>
      </w:r>
      <w:hyperlink r:id="rId378">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79"/>
    <w:bookmarkStart w:id="381" w:name="ref-lenz2007"/>
    <w:p>
      <w:pPr>
        <w:pStyle w:val="Bibliography"/>
      </w:pPr>
      <w:r>
        <w:t xml:space="preserve">149.</w:t>
      </w:r>
      <w:r>
        <w:t xml:space="preserve"> </w:t>
      </w:r>
      <w:r>
        <w:t xml:space="preserve">	</w:t>
      </w:r>
      <w:r>
        <w:t xml:space="preserve">Lenz R, Beyer M, Kuhn KA.</w:t>
      </w:r>
      <w:r>
        <w:t xml:space="preserve"> </w:t>
      </w:r>
      <w:hyperlink r:id="rId380">
        <w:r>
          <w:rPr>
            <w:rStyle w:val="Hyperlink"/>
          </w:rPr>
          <w:t xml:space="preserve">Semantic integration in healthcare networks</w:t>
        </w:r>
      </w:hyperlink>
      <w:r>
        <w:t xml:space="preserve">. International Journal of Medical Informatics. 2007;76(2-3):201–7.</w:t>
      </w:r>
      <w:r>
        <w:t xml:space="preserve"> </w:t>
      </w:r>
    </w:p>
    <w:bookmarkEnd w:id="381"/>
    <w:bookmarkStart w:id="383" w:name="ref-whittaker2008"/>
    <w:p>
      <w:pPr>
        <w:pStyle w:val="Bibliography"/>
      </w:pPr>
      <w:r>
        <w:t xml:space="preserve">150.</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82">
        <w:r>
          <w:rPr>
            <w:rStyle w:val="Hyperlink"/>
          </w:rPr>
          <w:t xml:space="preserve">https://www.academia.edu/download/41283190/Design_and_evaluation_of_systems_to_supp20160117-25708-98zc50.pdf</w:t>
        </w:r>
      </w:hyperlink>
    </w:p>
    <w:bookmarkEnd w:id="383"/>
    <w:bookmarkStart w:id="385" w:name="ref-moore2018"/>
    <w:p>
      <w:pPr>
        <w:pStyle w:val="Bibliography"/>
      </w:pPr>
      <w:r>
        <w:t xml:space="preserve">151.</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84">
        <w:r>
          <w:rPr>
            <w:rStyle w:val="Hyperlink"/>
          </w:rPr>
          <w:t xml:space="preserve">https://wendyju.com/publications/18_ijee3593.pdf</w:t>
        </w:r>
      </w:hyperlink>
    </w:p>
    <w:bookmarkEnd w:id="385"/>
    <w:bookmarkStart w:id="387" w:name="ref-zimmermann2017"/>
    <w:p>
      <w:pPr>
        <w:pStyle w:val="Bibliography"/>
      </w:pPr>
      <w:r>
        <w:t xml:space="preserve">152.</w:t>
      </w:r>
      <w:r>
        <w:t xml:space="preserve"> </w:t>
      </w:r>
      <w:r>
        <w:t xml:space="preserve">	</w:t>
      </w:r>
      <w:r>
        <w:t xml:space="preserve">Zimmermann S, Rentrop C, Felden C.</w:t>
      </w:r>
      <w:r>
        <w:t xml:space="preserve"> </w:t>
      </w:r>
      <w:hyperlink r:id="rId386">
        <w:r>
          <w:rPr>
            <w:rStyle w:val="Hyperlink"/>
          </w:rPr>
          <w:t xml:space="preserve">A Multiple Case Study on the Nature and Management of Shadow Information Technology</w:t>
        </w:r>
      </w:hyperlink>
      <w:r>
        <w:t xml:space="preserve">. Journal of Information Systems. 2017;31(1):79–101.</w:t>
      </w:r>
      <w:r>
        <w:t xml:space="preserve"> </w:t>
      </w:r>
    </w:p>
    <w:bookmarkEnd w:id="387"/>
    <w:bookmarkStart w:id="389" w:name="ref-rivard1987"/>
    <w:p>
      <w:pPr>
        <w:pStyle w:val="Bibliography"/>
      </w:pPr>
      <w:r>
        <w:t xml:space="preserve">153.</w:t>
      </w:r>
      <w:r>
        <w:t xml:space="preserve"> </w:t>
      </w:r>
      <w:r>
        <w:t xml:space="preserve">	</w:t>
      </w:r>
      <w:r>
        <w:t xml:space="preserve">Rivard S.</w:t>
      </w:r>
      <w:r>
        <w:t xml:space="preserve"> </w:t>
      </w:r>
      <w:hyperlink r:id="rId388">
        <w:r>
          <w:rPr>
            <w:rStyle w:val="Hyperlink"/>
          </w:rPr>
          <w:t xml:space="preserve">Successful Implementation of End-User Computing</w:t>
        </w:r>
      </w:hyperlink>
      <w:r>
        <w:t xml:space="preserve">. Interfaces. 1987;17(3):25–33.</w:t>
      </w:r>
      <w:r>
        <w:t xml:space="preserve"> </w:t>
      </w:r>
    </w:p>
    <w:bookmarkEnd w:id="389"/>
    <w:bookmarkStart w:id="391" w:name="ref-kopper2020"/>
    <w:p>
      <w:pPr>
        <w:pStyle w:val="Bibliography"/>
      </w:pPr>
      <w:r>
        <w:t xml:space="preserve">154.</w:t>
      </w:r>
      <w:r>
        <w:t xml:space="preserve"> </w:t>
      </w:r>
      <w:r>
        <w:t xml:space="preserve">	</w:t>
      </w:r>
      <w:r>
        <w:t xml:space="preserve">Kopper A, Westner M, Strahringer S.</w:t>
      </w:r>
      <w:r>
        <w:t xml:space="preserve"> </w:t>
      </w:r>
      <w:hyperlink r:id="rId390">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91"/>
    <w:bookmarkStart w:id="393" w:name="ref-himss2025ucdavis"/>
    <w:p>
      <w:pPr>
        <w:pStyle w:val="Bibliography"/>
      </w:pPr>
      <w:r>
        <w:t xml:space="preserve">155.</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92">
        <w:r>
          <w:rPr>
            <w:rStyle w:val="Hyperlink"/>
          </w:rPr>
          <w:t xml:space="preserve">https://pages.himss.org/LP-HA-Case-Study-UC-Davis.html</w:t>
        </w:r>
      </w:hyperlink>
    </w:p>
    <w:bookmarkEnd w:id="393"/>
    <w:bookmarkEnd w:id="394"/>
    <w:bookmarkEnd w:id="395"/>
    <w:bookmarkStart w:id="402" w:name="appendices"/>
    <w:p>
      <w:pPr>
        <w:pStyle w:val="Heading1"/>
      </w:pPr>
      <w:r>
        <w:rPr>
          <w:rStyle w:val="SectionNumber"/>
        </w:rPr>
        <w:t xml:space="preserve">15</w:t>
      </w:r>
      <w:r>
        <w:tab/>
      </w:r>
      <w:r>
        <w:t xml:space="preserve">Appendices</w:t>
      </w:r>
    </w:p>
    <w:bookmarkStart w:id="396" w:name="appendix-a-healthcare-analytics-glossary"/>
    <w:p>
      <w:pPr>
        <w:pStyle w:val="Heading2"/>
      </w:pPr>
      <w:r>
        <w:rPr>
          <w:rStyle w:val="SectionNumber"/>
        </w:rPr>
        <w:t xml:space="preserve">15.1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396"/>
    <w:bookmarkStart w:id="397" w:name="Xda282ad3909d53d8ac6252a99a3daf0ffe2dfbb"/>
    <w:p>
      <w:pPr>
        <w:pStyle w:val="Heading2"/>
      </w:pPr>
      <w:r>
        <w:rPr>
          <w:rStyle w:val="SectionNumber"/>
        </w:rPr>
        <w:t xml:space="preserve">15.2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397"/>
    <w:bookmarkStart w:id="401" w:name="Xbfd30549e6247e2f3e5132a039875af0e2849bb"/>
    <w:p>
      <w:pPr>
        <w:pStyle w:val="Heading2"/>
      </w:pPr>
      <w:r>
        <w:rPr>
          <w:rStyle w:val="SectionNumber"/>
        </w:rPr>
        <w:t xml:space="preserve">15.3</w:t>
      </w:r>
      <w:r>
        <w:tab/>
      </w:r>
      <w:r>
        <w:t xml:space="preserve">Appendix C: Healthcare NL2SQL Query Examples</w:t>
      </w:r>
    </w:p>
    <w:bookmarkStart w:id="398" w:name="patient-population-analysis"/>
    <w:p>
      <w:pPr>
        <w:pStyle w:val="Heading3"/>
      </w:pPr>
      <w:r>
        <w:rPr>
          <w:rStyle w:val="SectionNumber"/>
        </w:rPr>
        <w:t xml:space="preserve">15.3.1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398"/>
    <w:bookmarkStart w:id="399" w:name="X4f3204a1a55f74fb94aff14df64c2c9789526a0"/>
    <w:p>
      <w:pPr>
        <w:pStyle w:val="Heading3"/>
      </w:pPr>
      <w:r>
        <w:rPr>
          <w:rStyle w:val="SectionNumber"/>
        </w:rPr>
        <w:t xml:space="preserve">15.3.2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399"/>
    <w:bookmarkStart w:id="400" w:name="quality-metrics"/>
    <w:p>
      <w:pPr>
        <w:pStyle w:val="Heading3"/>
      </w:pPr>
      <w:r>
        <w:rPr>
          <w:rStyle w:val="SectionNumber"/>
        </w:rPr>
        <w:t xml:space="preserve">15.3.3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400"/>
    <w:bookmarkEnd w:id="401"/>
    <w:bookmarkEnd w:id="40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88" Target="https://academic.oup.com/jamia/article-abstract/26/4/294/5308980" TargetMode="External" /><Relationship Type="http://schemas.openxmlformats.org/officeDocument/2006/relationships/hyperlink" Id="rId152" Target="https://academic.oup.com/jamia/article/14/6/687/750453" TargetMode="External" /><Relationship Type="http://schemas.openxmlformats.org/officeDocument/2006/relationships/hyperlink" Id="rId369" Target="https://academic.oup.com/jpart/advance-article-abstract/doi/10.1093/jopart/muaf019/8162522" TargetMode="External" /><Relationship Type="http://schemas.openxmlformats.org/officeDocument/2006/relationships/hyperlink" Id="rId140" Target="https://academic.oup.com/jpubhealth" TargetMode="External" /><Relationship Type="http://schemas.openxmlformats.org/officeDocument/2006/relationships/hyperlink" Id="rId311" Target="https://ai.jmir.org/2023/1/e44358" TargetMode="External" /><Relationship Type="http://schemas.openxmlformats.org/officeDocument/2006/relationships/hyperlink" Id="rId168" Target="https://ai.nejm.org/doi/full/10.1056/AIdbp2500144" TargetMode="External" /><Relationship Type="http://schemas.openxmlformats.org/officeDocument/2006/relationships/hyperlink" Id="rId186" Target="https://al-kindipublisher.com/index.php/jcsts/article/view/9694" TargetMode="External" /><Relationship Type="http://schemas.openxmlformats.org/officeDocument/2006/relationships/hyperlink" Id="rId121" Target="https://api.wittkieffer.com/wp-content/uploads/2012/10/cio-insights-the-state-of-healthcare-it-leadership-wittkieffer-october-2024.pdf" TargetMode="External" /><Relationship Type="http://schemas.openxmlformats.org/officeDocument/2006/relationships/hyperlink" Id="rId176" Target="https://arxiv.org/abs/1908.01839" TargetMode="External" /><Relationship Type="http://schemas.openxmlformats.org/officeDocument/2006/relationships/hyperlink" Id="rId178" Target="https://arxiv.org/abs/2301.07695" TargetMode="External" /><Relationship Type="http://schemas.openxmlformats.org/officeDocument/2006/relationships/hyperlink" Id="rId158" Target="https://arxiv.org/abs/2403.09226" TargetMode="External" /><Relationship Type="http://schemas.openxmlformats.org/officeDocument/2006/relationships/hyperlink" Id="rId180" Target="https://arxiv.org/abs/2411.05521" TargetMode="External" /><Relationship Type="http://schemas.openxmlformats.org/officeDocument/2006/relationships/hyperlink" Id="rId166" Target="https://arxiv.org/abs/2505.08775" TargetMode="External" /><Relationship Type="http://schemas.openxmlformats.org/officeDocument/2006/relationships/hyperlink" Id="rId164" Target="https://arxiv.org/abs/2508.08224" TargetMode="External" /><Relationship Type="http://schemas.openxmlformats.org/officeDocument/2006/relationships/hyperlink" Id="rId192" Target="https://arxiv.org/abs/2511.14718" TargetMode="External" /><Relationship Type="http://schemas.openxmlformats.org/officeDocument/2006/relationships/hyperlink" Id="rId182" Target="https://arxiv.org/abs/2511.17559" TargetMode="External" /><Relationship Type="http://schemas.openxmlformats.org/officeDocument/2006/relationships/hyperlink" Id="rId375" Target="https://arxiv.org/pdf/2311.02082" TargetMode="External" /><Relationship Type="http://schemas.openxmlformats.org/officeDocument/2006/relationships/hyperlink" Id="rId365" Target="https://books.google.com/books?id=9uqiEAAAQBAJ" TargetMode="External" /><Relationship Type="http://schemas.openxmlformats.org/officeDocument/2006/relationships/hyperlink" Id="rId138" Target="https://dl.acm.org/doi/10.1145/1017114.1017118" TargetMode="External" /><Relationship Type="http://schemas.openxmlformats.org/officeDocument/2006/relationships/hyperlink" Id="rId132" Target="https://dl.acm.org/doi/abs/10.1145/320251.320253" TargetMode="External" /><Relationship Type="http://schemas.openxmlformats.org/officeDocument/2006/relationships/hyperlink" Id="rId194" Target="https://dl.acm.org/doi/abs/10.1145/3318464.3389777" TargetMode="External" /><Relationship Type="http://schemas.openxmlformats.org/officeDocument/2006/relationships/hyperlink" Id="rId390" Target="https://doi.org/10.1007/s10257-020-00472-y" TargetMode="External" /><Relationship Type="http://schemas.openxmlformats.org/officeDocument/2006/relationships/hyperlink" Id="rId150" Target="https://doi.org/10.1016/j.ijinfomgt.2003.12.012" TargetMode="External" /><Relationship Type="http://schemas.openxmlformats.org/officeDocument/2006/relationships/hyperlink" Id="rId237" Target="https://doi.org/10.1016/j.ijinfomgt.2018.07.001" TargetMode="External" /><Relationship Type="http://schemas.openxmlformats.org/officeDocument/2006/relationships/hyperlink" Id="rId380" Target="https://doi.org/10.1016/j.ijmedinf.2006.05.008" TargetMode="External" /><Relationship Type="http://schemas.openxmlformats.org/officeDocument/2006/relationships/hyperlink" Id="rId286" Target="https://doi.org/10.1108/09526860910953520" TargetMode="External" /><Relationship Type="http://schemas.openxmlformats.org/officeDocument/2006/relationships/hyperlink" Id="rId257" Target="https://doi.org/10.1108/JKM-08-2016-0338" TargetMode="External" /><Relationship Type="http://schemas.openxmlformats.org/officeDocument/2006/relationships/hyperlink" Id="rId332" Target="https://doi.org/10.1109/ICATC64549.2024.11025368" TargetMode="External" /><Relationship Type="http://schemas.openxmlformats.org/officeDocument/2006/relationships/hyperlink" Id="rId301" Target="https://doi.org/10.1145/3670653.3670660" TargetMode="External" /><Relationship Type="http://schemas.openxmlformats.org/officeDocument/2006/relationships/hyperlink" Id="rId388" Target="https://doi.org/10.1287/inte.17.3.25" TargetMode="External" /><Relationship Type="http://schemas.openxmlformats.org/officeDocument/2006/relationships/hyperlink" Id="rId303" Target="https://doi.org/10.17705/1jais.00801" TargetMode="External" /><Relationship Type="http://schemas.openxmlformats.org/officeDocument/2006/relationships/hyperlink" Id="rId283" Target="https://doi.org/10.2147/JMDH.S363390" TargetMode="External" /><Relationship Type="http://schemas.openxmlformats.org/officeDocument/2006/relationships/hyperlink" Id="rId386" Target="https://doi.org/10.2308/isys-51517" TargetMode="External" /><Relationship Type="http://schemas.openxmlformats.org/officeDocument/2006/relationships/hyperlink" Id="rId378" Target="https://doi.org/10.63282/3050-9262.IJAIDSML-V6I4P130" TargetMode="External" /><Relationship Type="http://schemas.openxmlformats.org/officeDocument/2006/relationships/hyperlink" Id="rId160" Target="https://dspace.flinders.edu.au/jspui/bitstream/2328/3326/4/AACODS_Checklist.pdf" TargetMode="External" /><Relationship Type="http://schemas.openxmlformats.org/officeDocument/2006/relationships/hyperlink" Id="rId341" Target="https://formative.jmir.org/2023/1/e38555" TargetMode="External" /><Relationship Type="http://schemas.openxmlformats.org/officeDocument/2006/relationships/hyperlink" Id="rId339" Target="https://gisrrj.com/paper/GISRRJ236426.pdf" TargetMode="External" /><Relationship Type="http://schemas.openxmlformats.org/officeDocument/2006/relationships/hyperlink" Id="rId267" Target="https://human-resources-health.biomedcentral.com/articles/10.1186/1478-4491-11-35" TargetMode="External" /><Relationship Type="http://schemas.openxmlformats.org/officeDocument/2006/relationships/hyperlink" Id="rId279" Target="https://human-resources-health.biomedcentral.com/articles/10.1186/s12960-019-0432-y" TargetMode="External" /><Relationship Type="http://schemas.openxmlformats.org/officeDocument/2006/relationships/hyperlink" Id="rId319" Target="https://ia.berkshirehealthcare.nhs.uk/citizen-developer-programme" TargetMode="External" /><Relationship Type="http://schemas.openxmlformats.org/officeDocument/2006/relationships/hyperlink" Id="rId321" Target="https://ieeexplore.ieee.org/abstract/document/10373712/" TargetMode="External" /><Relationship Type="http://schemas.openxmlformats.org/officeDocument/2006/relationships/hyperlink" Id="rId355" Target="https://ieeexplore.ieee.org/abstract/document/8678513/" TargetMode="External" /><Relationship Type="http://schemas.openxmlformats.org/officeDocument/2006/relationships/hyperlink" Id="rId323" Target="https://ieeexplore.ieee.org/document/10186753" TargetMode="External" /><Relationship Type="http://schemas.openxmlformats.org/officeDocument/2006/relationships/hyperlink" Id="rId315" Target="https://ieeexplore.ieee.org/document/10297311" TargetMode="External" /><Relationship Type="http://schemas.openxmlformats.org/officeDocument/2006/relationships/hyperlink" Id="rId329" Target="https://imjstb.com/index.php/Journal/article/view/95" TargetMode="External" /><Relationship Type="http://schemas.openxmlformats.org/officeDocument/2006/relationships/hyperlink" Id="rId142" Target="https://jamanetwork.com/journals/jamainternalmedicine/fullarticle/2809588" TargetMode="External" /><Relationship Type="http://schemas.openxmlformats.org/officeDocument/2006/relationships/hyperlink" Id="rId263" Target="https://jamanetwork.com/journals/jamanetworkopen/fullarticle/2784810" TargetMode="External" /><Relationship Type="http://schemas.openxmlformats.org/officeDocument/2006/relationships/hyperlink" Id="rId298" Target="https://journalofbigdata.springeropen.com/articles/10.1186/s40537-019-0170-y" TargetMode="External" /><Relationship Type="http://schemas.openxmlformats.org/officeDocument/2006/relationships/hyperlink" Id="rId259" Target="https://journals.lww.com/jonajournal/abstract/2005/01000/the_costs_of_nurse_turnover__part_2__application.14.aspx" TargetMode="External" /><Relationship Type="http://schemas.openxmlformats.org/officeDocument/2006/relationships/hyperlink" Id="rId363" Target="https://journals.sagepub.com/doi/abs/10.1177/00081256221094307" TargetMode="External" /><Relationship Type="http://schemas.openxmlformats.org/officeDocument/2006/relationships/hyperlink" Id="rId217" Target="https://journals.sagepub.com/doi/full/10.1177/23743735241253785" TargetMode="External" /><Relationship Type="http://schemas.openxmlformats.org/officeDocument/2006/relationships/hyperlink" Id="rId206" Target="https://legacy.himss.org/news/new-analytics-maturity-adoption-model-pushes-digital-transformation-and-data-driven-decisions" TargetMode="External" /><Relationship Type="http://schemas.openxmlformats.org/officeDocument/2006/relationships/hyperlink" Id="rId148" Target="https://link.springer.com/article/10.1007/s10916-011-9656-7" TargetMode="External" /><Relationship Type="http://schemas.openxmlformats.org/officeDocument/2006/relationships/hyperlink" Id="rId235" Target="https://link.springer.com/article/10.1007/s10916-020-01665-9" TargetMode="External" /><Relationship Type="http://schemas.openxmlformats.org/officeDocument/2006/relationships/hyperlink" Id="rId156" Target="https://link.springer.com/content/pdf/10.1007/s10462-022-10246-w.pdf" TargetMode="External" /><Relationship Type="http://schemas.openxmlformats.org/officeDocument/2006/relationships/hyperlink" Id="rId373" Target="https://mail.vldb.org/archives/website/2005/program/paper/fri/p1006-yu.pdf" TargetMode="External" /><Relationship Type="http://schemas.openxmlformats.org/officeDocument/2006/relationships/hyperlink" Id="rId337" Target="https://mds.marshall.edu/etd/1824/" TargetMode="External" /><Relationship Type="http://schemas.openxmlformats.org/officeDocument/2006/relationships/hyperlink" Id="rId213" Target="https://medicalbuyer.co.in/2-medical-groups-in-saudi-arabia-achieve-stage-7-digital-maturity/" TargetMode="External" /><Relationship Type="http://schemas.openxmlformats.org/officeDocument/2006/relationships/hyperlink" Id="rId198" Target="https://medinform.jmir.org/2019/3/e13331" TargetMode="External" /><Relationship Type="http://schemas.openxmlformats.org/officeDocument/2006/relationships/hyperlink" Id="rId313" Target="https://medinform.jmir.org/2022/2/e32875" TargetMode="External" /><Relationship Type="http://schemas.openxmlformats.org/officeDocument/2006/relationships/hyperlink" Id="rId353" Target="https://newsroom.ibm.com/2022-01-21-Francisco-Partners-to-Acquire-IBMs-Healthcare-Data-and-Analytics-Assets" TargetMode="External" /><Relationship Type="http://schemas.openxmlformats.org/officeDocument/2006/relationships/hyperlink" Id="rId367" Target="https://onlinelibrary.wiley.com/doi/abs/10.1057/palgrave.emr.1500057" TargetMode="External" /><Relationship Type="http://schemas.openxmlformats.org/officeDocument/2006/relationships/hyperlink" Id="rId219" Target="https://onlinelibrary.wiley.com/doi/abs/10.1111/1467-8551.12332" TargetMode="External" /><Relationship Type="http://schemas.openxmlformats.org/officeDocument/2006/relationships/hyperlink" Id="rId290" Target="https://onlinelibrary.wiley.com/doi/abs/10.1111/j.1540-5885.2010.00798.x" TargetMode="External" /><Relationship Type="http://schemas.openxmlformats.org/officeDocument/2006/relationships/hyperlink" Id="rId277" Target="https://onlinelibrary.wiley.com/doi/abs/10.1111/j.1547-5069.2009.01319.x" TargetMode="External" /><Relationship Type="http://schemas.openxmlformats.org/officeDocument/2006/relationships/hyperlink" Id="rId357" Target="https://oulurepo.oulu.fi/bitstream/handle/10024/27921/nbnfi-fe2020050424858.pdf" TargetMode="External" /><Relationship Type="http://schemas.openxmlformats.org/officeDocument/2006/relationships/hyperlink" Id="rId392" Target="https://pages.himss.org/LP-HA-Case-Study-UC-Davis.html" TargetMode="External" /><Relationship Type="http://schemas.openxmlformats.org/officeDocument/2006/relationships/hyperlink" Id="rId136" Target="https://papers.ssrn.com/sol3/papers.cfm?abstract_id=5268176" TargetMode="External" /><Relationship Type="http://schemas.openxmlformats.org/officeDocument/2006/relationships/hyperlink" Id="rId271" Target="https://pmc.ncbi.nlm.nih.gov/articles/PMC10243608/" TargetMode="External" /><Relationship Type="http://schemas.openxmlformats.org/officeDocument/2006/relationships/hyperlink" Id="rId253" Target="https://pmc.ncbi.nlm.nih.gov/articles/PMC10802134/" TargetMode="External" /><Relationship Type="http://schemas.openxmlformats.org/officeDocument/2006/relationships/hyperlink" Id="rId255" Target="https://pmc.ncbi.nlm.nih.gov/articles/PMC11919231/" TargetMode="External" /><Relationship Type="http://schemas.openxmlformats.org/officeDocument/2006/relationships/hyperlink" Id="rId146" Target="https://publishing.emanresearch.org/Journal/FullText/6104" TargetMode="External" /><Relationship Type="http://schemas.openxmlformats.org/officeDocument/2006/relationships/hyperlink" Id="rId269" Target="https://pubmed.ncbi.nlm.nih.gov/20054502/" TargetMode="External" /><Relationship Type="http://schemas.openxmlformats.org/officeDocument/2006/relationships/hyperlink" Id="rId317" Target="https://pubsonline.informs.org/doi/abs/10.1287/educ.2023.0257" TargetMode="External" /><Relationship Type="http://schemas.openxmlformats.org/officeDocument/2006/relationships/hyperlink" Id="rId130" Target="https://resources.anthropic.com/code-modernization-playbook" TargetMode="External" /><Relationship Type="http://schemas.openxmlformats.org/officeDocument/2006/relationships/hyperlink" Id="rId204" Target="https://sarcouncil.com/2025/06/ai-driven-mainframe-modernization-unlocking-legacy-data-for-cloud-analytics" TargetMode="External" /><Relationship Type="http://schemas.openxmlformats.org/officeDocument/2006/relationships/hyperlink" Id="rId327" Target="https://sarcouncil.com/download-article/SJECS-209-_2025-630-636.pdf" TargetMode="External" /><Relationship Type="http://schemas.openxmlformats.org/officeDocument/2006/relationships/hyperlink" Id="rId225" Target="https://scholarworks.waldenu.edu/cgi/viewcontent.cgi?article=12395&amp;context=dissertations" TargetMode="External" /><Relationship Type="http://schemas.openxmlformats.org/officeDocument/2006/relationships/hyperlink" Id="rId325" Target="https://tei.forrester.com/go/microsoft/powerappstei/?lang=en-us" TargetMode="External" /><Relationship Type="http://schemas.openxmlformats.org/officeDocument/2006/relationships/hyperlink" Id="rId384" Target="https://wendyju.com/publications/18_ijee3593.pdf" TargetMode="External" /><Relationship Type="http://schemas.openxmlformats.org/officeDocument/2006/relationships/hyperlink" Id="rId382" Target="https://www.academia.edu/download/41283190/Design_and_evaluation_of_systems_to_supp20160117-25708-98zc50.pdf" TargetMode="External" /><Relationship Type="http://schemas.openxmlformats.org/officeDocument/2006/relationships/hyperlink" Id="rId361" Target="https://www.academicradiology.org/article/S1076-6332(21)00140-9/abstract" TargetMode="External" /><Relationship Type="http://schemas.openxmlformats.org/officeDocument/2006/relationships/hyperlink" Id="rId349" Target="https://www.acpjournals.org/doi/10.7326/M19-0871" TargetMode="External" /><Relationship Type="http://schemas.openxmlformats.org/officeDocument/2006/relationships/hyperlink" Id="rId111" Target="https://www.ahima.org/news-publications/press-room-press-releases/2023-press-releases/health-information-workforce-shortages-persist-as-ai-shows-promise-ahima-survey-reveals/" TargetMode="External" /><Relationship Type="http://schemas.openxmlformats.org/officeDocument/2006/relationships/hyperlink" Id="rId134" Target="https://www.allmultidisciplinaryjournal.com/uploads/archives/20250306182550_MGE-2025-2-018.1.pdf" TargetMode="External" /><Relationship Type="http://schemas.openxmlformats.org/officeDocument/2006/relationships/hyperlink" Id="rId261" Target="https://www.annfammed.org/content/17/1/36" TargetMode="External" /><Relationship Type="http://schemas.openxmlformats.org/officeDocument/2006/relationships/hyperlink" Id="rId359" Target="https://www.cnbc.com/2021/01/04/haven-the-amazon-berkshire-jpmorgan-venture-to-disrupt-healthcare-is-disbanding-after-3-years.html" TargetMode="External" /><Relationship Type="http://schemas.openxmlformats.org/officeDocument/2006/relationships/hyperlink" Id="rId273" Target="https://www.diva-portal.org/smash/record.jsf?pid=diva2:1684142" TargetMode="External" /><Relationship Type="http://schemas.openxmlformats.org/officeDocument/2006/relationships/hyperlink" Id="rId281" Target="https://www.emerald.com/insight/content/doi/10.1108/13660750510611198/full/html" TargetMode="External" /><Relationship Type="http://schemas.openxmlformats.org/officeDocument/2006/relationships/hyperlink" Id="rId292" Target="https://www.emerald.com/insight/content/doi/10.1108/13673270610650067/full/html" TargetMode="External" /><Relationship Type="http://schemas.openxmlformats.org/officeDocument/2006/relationships/hyperlink" Id="rId347" Target="https://www.emerald.com/insight/content/doi/10.1108/JKM-03-2024-0262/full/html" TargetMode="External" /><Relationship Type="http://schemas.openxmlformats.org/officeDocument/2006/relationships/hyperlink" Id="rId200" Target="https://www.frontiersin.org/articles/10.3389/fdata.2024.1371680" TargetMode="External" /><Relationship Type="http://schemas.openxmlformats.org/officeDocument/2006/relationships/hyperlink" Id="rId345" Target="https://www.frontiersin.org/articles/10.3389/fpsyg.2019.02730" TargetMode="External" /><Relationship Type="http://schemas.openxmlformats.org/officeDocument/2006/relationships/hyperlink" Id="rId233" Target="https://www.health.org.uk/publications/understanding-analytical-capability-in-health-care" TargetMode="External" /><Relationship Type="http://schemas.openxmlformats.org/officeDocument/2006/relationships/hyperlink" Id="rId115" Target="https://www.healthcareitnews.com/news/asia/himss24-apac-adoption-model-analytics-maturity-gets-facelift" TargetMode="External" /><Relationship Type="http://schemas.openxmlformats.org/officeDocument/2006/relationships/hyperlink" Id="rId231" Target="https://www.healthcatalyst.com/learn/insights/healthcare-analytics-adoption-model-roadmap-analytic-maturity" TargetMode="External" /><Relationship Type="http://schemas.openxmlformats.org/officeDocument/2006/relationships/hyperlink" Id="rId113" Target="https://www.himss.org/maturity-models/amam/" TargetMode="External" /><Relationship Type="http://schemas.openxmlformats.org/officeDocument/2006/relationships/hyperlink" Id="rId123" Target="https://www.himss.org/resources/the-future-of-workforce/" TargetMode="External" /><Relationship Type="http://schemas.openxmlformats.org/officeDocument/2006/relationships/hyperlink" Id="rId296" Target="https://www.inderscienceonline.com/doi/abs/10.1504/IJNKM.2006.009880" TargetMode="External" /><Relationship Type="http://schemas.openxmlformats.org/officeDocument/2006/relationships/hyperlink" Id="rId144" Target="https://www.ingentaconnect.com/content/hsp/mih/2024/00000008/00000004/art00006" TargetMode="External" /><Relationship Type="http://schemas.openxmlformats.org/officeDocument/2006/relationships/hyperlink" Id="rId307" Target="https://www.jmir.org/2020/10/e20346/" TargetMode="External" /><Relationship Type="http://schemas.openxmlformats.org/officeDocument/2006/relationships/hyperlink" Id="rId215" Target="https://www.jmir.org/2024/1/e56316" TargetMode="External" /><Relationship Type="http://schemas.openxmlformats.org/officeDocument/2006/relationships/hyperlink" Id="rId275" Target="https://www.mdpi.com/1660-4601/17/12/4267" TargetMode="External" /><Relationship Type="http://schemas.openxmlformats.org/officeDocument/2006/relationships/hyperlink" Id="rId221" Target="https://www.mdpi.com/2227-9032/13/1/1" TargetMode="External" /><Relationship Type="http://schemas.openxmlformats.org/officeDocument/2006/relationships/hyperlink" Id="rId172" Target="https://www.mdpi.com/2504-2289/9/10/256" TargetMode="External" /><Relationship Type="http://schemas.openxmlformats.org/officeDocument/2006/relationships/hyperlink" Id="rId227" Target="https://www.nature.com/articles/s41746-019-0118-9" TargetMode="External" /><Relationship Type="http://schemas.openxmlformats.org/officeDocument/2006/relationships/hyperlink" Id="rId170" Target="https://www.nature.com/articles/s41746-024-01390-4" TargetMode="External" /><Relationship Type="http://schemas.openxmlformats.org/officeDocument/2006/relationships/hyperlink" Id="rId125" Target="https://www.nsinursingsolutions.com/documents/library/nsi_national_health_care_retention_report.pdf" TargetMode="External" /><Relationship Type="http://schemas.openxmlformats.org/officeDocument/2006/relationships/hyperlink" Id="rId127" Target="https://www.nyulawreview.org/issues/volume-94-number-4/data-standardization/" TargetMode="External" /><Relationship Type="http://schemas.openxmlformats.org/officeDocument/2006/relationships/hyperlink" Id="rId265" Target="https://www.oracle.com/human-capital-management/cost-employee-turnover-healthcare/" TargetMode="External" /><Relationship Type="http://schemas.openxmlformats.org/officeDocument/2006/relationships/hyperlink" Id="rId343" Target="https://www.precedenceresearch.com/healthcare-analytics-market" TargetMode="External" /><Relationship Type="http://schemas.openxmlformats.org/officeDocument/2006/relationships/hyperlink" Id="rId119" Target="https://www.prnewswire.com/news-releases/taiwans-first-hospital-to-achieve-amam-stage-7-certification-302390824.html" TargetMode="External" /><Relationship Type="http://schemas.openxmlformats.org/officeDocument/2006/relationships/hyperlink" Id="rId202" Target="https://www.proquest.com/openview/0d955ee8209664a4447c9995a1b9e721/1?pq-origsite=gscholar&amp;cbl=326365" TargetMode="External" /><Relationship Type="http://schemas.openxmlformats.org/officeDocument/2006/relationships/hyperlink" Id="rId371" Target="https://www.quantbeckman.com/api/v1/file/5b240742-bf0d-4f8c-a0f9-cb29fab42611.pdf" TargetMode="External" /><Relationship Type="http://schemas.openxmlformats.org/officeDocument/2006/relationships/hyperlink" Id="rId288" Target="https://www.redjournal.org/article/S0360-3016(16)00260-1/fulltext" TargetMode="External" /><Relationship Type="http://schemas.openxmlformats.org/officeDocument/2006/relationships/hyperlink" Id="rId208" Target="https://www.sciencedirect.com/science/article/abs/pii/S0040162516000500" TargetMode="External" /><Relationship Type="http://schemas.openxmlformats.org/officeDocument/2006/relationships/hyperlink" Id="rId210" Target="https://www.sciencedirect.com/science/article/abs/pii/S0148296316304891" TargetMode="External" /><Relationship Type="http://schemas.openxmlformats.org/officeDocument/2006/relationships/hyperlink" Id="rId184" Target="https://www.sciencedirect.com/science/article/pii/S0031320324008197" TargetMode="External" /><Relationship Type="http://schemas.openxmlformats.org/officeDocument/2006/relationships/hyperlink" Id="rId351" Target="https://www.sciencedirect.com/science/article/pii/S0168851021002396" TargetMode="External" /><Relationship Type="http://schemas.openxmlformats.org/officeDocument/2006/relationships/hyperlink" Id="rId309" Target="https://www.sciencedirect.com/science/article/pii/S1386505623001296" TargetMode="External" /><Relationship Type="http://schemas.openxmlformats.org/officeDocument/2006/relationships/hyperlink" Id="rId174" Target="https://www.sciencedirect.com/science/article/pii/S1386505623001405" TargetMode="External" /><Relationship Type="http://schemas.openxmlformats.org/officeDocument/2006/relationships/hyperlink" Id="rId223" Target="https://www.sciencedirect.com/science/article/pii/S1386505624001916" TargetMode="External" /><Relationship Type="http://schemas.openxmlformats.org/officeDocument/2006/relationships/hyperlink" Id="rId196" Target="https://www.sciencedirect.com/science/article/pii/S1532046414001592" TargetMode="External" /><Relationship Type="http://schemas.openxmlformats.org/officeDocument/2006/relationships/hyperlink" Id="rId190" Target="https://www.sciencedirect.com/science/article/pii/S1532046424000650" TargetMode="External" /><Relationship Type="http://schemas.openxmlformats.org/officeDocument/2006/relationships/hyperlink" Id="rId294" Target="https://www.tandfonline.com/doi/abs/10.1080/08956308.2010.11657637" TargetMode="External" /><Relationship Type="http://schemas.openxmlformats.org/officeDocument/2006/relationships/hyperlink" Id="rId229" Target="https://www.tandfonline.com/doi/full/10.1080/20479700.2018.1531606" TargetMode="External" /><Relationship Type="http://schemas.openxmlformats.org/officeDocument/2006/relationships/hyperlink" Id="rId154" Target="https://www.tdx.cat/bitstream/handle/10803/695722/TGJBR1de1.pdf?sequence=1" TargetMode="External" /><Relationship Type="http://schemas.openxmlformats.org/officeDocument/2006/relationships/hyperlink" Id="rId117"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188" Target="https://academic.oup.com/jamia/article-abstract/26/4/294/5308980" TargetMode="External" /><Relationship Type="http://schemas.openxmlformats.org/officeDocument/2006/relationships/hyperlink" Id="rId152" Target="https://academic.oup.com/jamia/article/14/6/687/750453" TargetMode="External" /><Relationship Type="http://schemas.openxmlformats.org/officeDocument/2006/relationships/hyperlink" Id="rId369" Target="https://academic.oup.com/jpart/advance-article-abstract/doi/10.1093/jopart/muaf019/8162522" TargetMode="External" /><Relationship Type="http://schemas.openxmlformats.org/officeDocument/2006/relationships/hyperlink" Id="rId140" Target="https://academic.oup.com/jpubhealth" TargetMode="External" /><Relationship Type="http://schemas.openxmlformats.org/officeDocument/2006/relationships/hyperlink" Id="rId311" Target="https://ai.jmir.org/2023/1/e44358" TargetMode="External" /><Relationship Type="http://schemas.openxmlformats.org/officeDocument/2006/relationships/hyperlink" Id="rId168" Target="https://ai.nejm.org/doi/full/10.1056/AIdbp2500144" TargetMode="External" /><Relationship Type="http://schemas.openxmlformats.org/officeDocument/2006/relationships/hyperlink" Id="rId186" Target="https://al-kindipublisher.com/index.php/jcsts/article/view/9694" TargetMode="External" /><Relationship Type="http://schemas.openxmlformats.org/officeDocument/2006/relationships/hyperlink" Id="rId121" Target="https://api.wittkieffer.com/wp-content/uploads/2012/10/cio-insights-the-state-of-healthcare-it-leadership-wittkieffer-october-2024.pdf" TargetMode="External" /><Relationship Type="http://schemas.openxmlformats.org/officeDocument/2006/relationships/hyperlink" Id="rId176" Target="https://arxiv.org/abs/1908.01839" TargetMode="External" /><Relationship Type="http://schemas.openxmlformats.org/officeDocument/2006/relationships/hyperlink" Id="rId178" Target="https://arxiv.org/abs/2301.07695" TargetMode="External" /><Relationship Type="http://schemas.openxmlformats.org/officeDocument/2006/relationships/hyperlink" Id="rId158" Target="https://arxiv.org/abs/2403.09226" TargetMode="External" /><Relationship Type="http://schemas.openxmlformats.org/officeDocument/2006/relationships/hyperlink" Id="rId180" Target="https://arxiv.org/abs/2411.05521" TargetMode="External" /><Relationship Type="http://schemas.openxmlformats.org/officeDocument/2006/relationships/hyperlink" Id="rId166" Target="https://arxiv.org/abs/2505.08775" TargetMode="External" /><Relationship Type="http://schemas.openxmlformats.org/officeDocument/2006/relationships/hyperlink" Id="rId164" Target="https://arxiv.org/abs/2508.08224" TargetMode="External" /><Relationship Type="http://schemas.openxmlformats.org/officeDocument/2006/relationships/hyperlink" Id="rId192" Target="https://arxiv.org/abs/2511.14718" TargetMode="External" /><Relationship Type="http://schemas.openxmlformats.org/officeDocument/2006/relationships/hyperlink" Id="rId182" Target="https://arxiv.org/abs/2511.17559" TargetMode="External" /><Relationship Type="http://schemas.openxmlformats.org/officeDocument/2006/relationships/hyperlink" Id="rId375" Target="https://arxiv.org/pdf/2311.02082" TargetMode="External" /><Relationship Type="http://schemas.openxmlformats.org/officeDocument/2006/relationships/hyperlink" Id="rId365" Target="https://books.google.com/books?id=9uqiEAAAQBAJ" TargetMode="External" /><Relationship Type="http://schemas.openxmlformats.org/officeDocument/2006/relationships/hyperlink" Id="rId138" Target="https://dl.acm.org/doi/10.1145/1017114.1017118" TargetMode="External" /><Relationship Type="http://schemas.openxmlformats.org/officeDocument/2006/relationships/hyperlink" Id="rId132" Target="https://dl.acm.org/doi/abs/10.1145/320251.320253" TargetMode="External" /><Relationship Type="http://schemas.openxmlformats.org/officeDocument/2006/relationships/hyperlink" Id="rId194" Target="https://dl.acm.org/doi/abs/10.1145/3318464.3389777" TargetMode="External" /><Relationship Type="http://schemas.openxmlformats.org/officeDocument/2006/relationships/hyperlink" Id="rId390" Target="https://doi.org/10.1007/s10257-020-00472-y" TargetMode="External" /><Relationship Type="http://schemas.openxmlformats.org/officeDocument/2006/relationships/hyperlink" Id="rId150" Target="https://doi.org/10.1016/j.ijinfomgt.2003.12.012" TargetMode="External" /><Relationship Type="http://schemas.openxmlformats.org/officeDocument/2006/relationships/hyperlink" Id="rId237" Target="https://doi.org/10.1016/j.ijinfomgt.2018.07.001" TargetMode="External" /><Relationship Type="http://schemas.openxmlformats.org/officeDocument/2006/relationships/hyperlink" Id="rId380" Target="https://doi.org/10.1016/j.ijmedinf.2006.05.008" TargetMode="External" /><Relationship Type="http://schemas.openxmlformats.org/officeDocument/2006/relationships/hyperlink" Id="rId286" Target="https://doi.org/10.1108/09526860910953520" TargetMode="External" /><Relationship Type="http://schemas.openxmlformats.org/officeDocument/2006/relationships/hyperlink" Id="rId257" Target="https://doi.org/10.1108/JKM-08-2016-0338" TargetMode="External" /><Relationship Type="http://schemas.openxmlformats.org/officeDocument/2006/relationships/hyperlink" Id="rId332" Target="https://doi.org/10.1109/ICATC64549.2024.11025368" TargetMode="External" /><Relationship Type="http://schemas.openxmlformats.org/officeDocument/2006/relationships/hyperlink" Id="rId301" Target="https://doi.org/10.1145/3670653.3670660" TargetMode="External" /><Relationship Type="http://schemas.openxmlformats.org/officeDocument/2006/relationships/hyperlink" Id="rId388" Target="https://doi.org/10.1287/inte.17.3.25" TargetMode="External" /><Relationship Type="http://schemas.openxmlformats.org/officeDocument/2006/relationships/hyperlink" Id="rId303" Target="https://doi.org/10.17705/1jais.00801" TargetMode="External" /><Relationship Type="http://schemas.openxmlformats.org/officeDocument/2006/relationships/hyperlink" Id="rId283" Target="https://doi.org/10.2147/JMDH.S363390" TargetMode="External" /><Relationship Type="http://schemas.openxmlformats.org/officeDocument/2006/relationships/hyperlink" Id="rId386" Target="https://doi.org/10.2308/isys-51517" TargetMode="External" /><Relationship Type="http://schemas.openxmlformats.org/officeDocument/2006/relationships/hyperlink" Id="rId378" Target="https://doi.org/10.63282/3050-9262.IJAIDSML-V6I4P130" TargetMode="External" /><Relationship Type="http://schemas.openxmlformats.org/officeDocument/2006/relationships/hyperlink" Id="rId160" Target="https://dspace.flinders.edu.au/jspui/bitstream/2328/3326/4/AACODS_Checklist.pdf" TargetMode="External" /><Relationship Type="http://schemas.openxmlformats.org/officeDocument/2006/relationships/hyperlink" Id="rId341" Target="https://formative.jmir.org/2023/1/e38555" TargetMode="External" /><Relationship Type="http://schemas.openxmlformats.org/officeDocument/2006/relationships/hyperlink" Id="rId339" Target="https://gisrrj.com/paper/GISRRJ236426.pdf" TargetMode="External" /><Relationship Type="http://schemas.openxmlformats.org/officeDocument/2006/relationships/hyperlink" Id="rId267" Target="https://human-resources-health.biomedcentral.com/articles/10.1186/1478-4491-11-35" TargetMode="External" /><Relationship Type="http://schemas.openxmlformats.org/officeDocument/2006/relationships/hyperlink" Id="rId279" Target="https://human-resources-health.biomedcentral.com/articles/10.1186/s12960-019-0432-y" TargetMode="External" /><Relationship Type="http://schemas.openxmlformats.org/officeDocument/2006/relationships/hyperlink" Id="rId319" Target="https://ia.berkshirehealthcare.nhs.uk/citizen-developer-programme" TargetMode="External" /><Relationship Type="http://schemas.openxmlformats.org/officeDocument/2006/relationships/hyperlink" Id="rId321" Target="https://ieeexplore.ieee.org/abstract/document/10373712/" TargetMode="External" /><Relationship Type="http://schemas.openxmlformats.org/officeDocument/2006/relationships/hyperlink" Id="rId355" Target="https://ieeexplore.ieee.org/abstract/document/8678513/" TargetMode="External" /><Relationship Type="http://schemas.openxmlformats.org/officeDocument/2006/relationships/hyperlink" Id="rId323" Target="https://ieeexplore.ieee.org/document/10186753" TargetMode="External" /><Relationship Type="http://schemas.openxmlformats.org/officeDocument/2006/relationships/hyperlink" Id="rId315" Target="https://ieeexplore.ieee.org/document/10297311" TargetMode="External" /><Relationship Type="http://schemas.openxmlformats.org/officeDocument/2006/relationships/hyperlink" Id="rId329" Target="https://imjstb.com/index.php/Journal/article/view/95" TargetMode="External" /><Relationship Type="http://schemas.openxmlformats.org/officeDocument/2006/relationships/hyperlink" Id="rId142" Target="https://jamanetwork.com/journals/jamainternalmedicine/fullarticle/2809588" TargetMode="External" /><Relationship Type="http://schemas.openxmlformats.org/officeDocument/2006/relationships/hyperlink" Id="rId263" Target="https://jamanetwork.com/journals/jamanetworkopen/fullarticle/2784810" TargetMode="External" /><Relationship Type="http://schemas.openxmlformats.org/officeDocument/2006/relationships/hyperlink" Id="rId298" Target="https://journalofbigdata.springeropen.com/articles/10.1186/s40537-019-0170-y" TargetMode="External" /><Relationship Type="http://schemas.openxmlformats.org/officeDocument/2006/relationships/hyperlink" Id="rId259" Target="https://journals.lww.com/jonajournal/abstract/2005/01000/the_costs_of_nurse_turnover__part_2__application.14.aspx" TargetMode="External" /><Relationship Type="http://schemas.openxmlformats.org/officeDocument/2006/relationships/hyperlink" Id="rId363" Target="https://journals.sagepub.com/doi/abs/10.1177/00081256221094307" TargetMode="External" /><Relationship Type="http://schemas.openxmlformats.org/officeDocument/2006/relationships/hyperlink" Id="rId217" Target="https://journals.sagepub.com/doi/full/10.1177/23743735241253785" TargetMode="External" /><Relationship Type="http://schemas.openxmlformats.org/officeDocument/2006/relationships/hyperlink" Id="rId206" Target="https://legacy.himss.org/news/new-analytics-maturity-adoption-model-pushes-digital-transformation-and-data-driven-decisions" TargetMode="External" /><Relationship Type="http://schemas.openxmlformats.org/officeDocument/2006/relationships/hyperlink" Id="rId148" Target="https://link.springer.com/article/10.1007/s10916-011-9656-7" TargetMode="External" /><Relationship Type="http://schemas.openxmlformats.org/officeDocument/2006/relationships/hyperlink" Id="rId235" Target="https://link.springer.com/article/10.1007/s10916-020-01665-9" TargetMode="External" /><Relationship Type="http://schemas.openxmlformats.org/officeDocument/2006/relationships/hyperlink" Id="rId156" Target="https://link.springer.com/content/pdf/10.1007/s10462-022-10246-w.pdf" TargetMode="External" /><Relationship Type="http://schemas.openxmlformats.org/officeDocument/2006/relationships/hyperlink" Id="rId373" Target="https://mail.vldb.org/archives/website/2005/program/paper/fri/p1006-yu.pdf" TargetMode="External" /><Relationship Type="http://schemas.openxmlformats.org/officeDocument/2006/relationships/hyperlink" Id="rId337" Target="https://mds.marshall.edu/etd/1824/" TargetMode="External" /><Relationship Type="http://schemas.openxmlformats.org/officeDocument/2006/relationships/hyperlink" Id="rId213" Target="https://medicalbuyer.co.in/2-medical-groups-in-saudi-arabia-achieve-stage-7-digital-maturity/" TargetMode="External" /><Relationship Type="http://schemas.openxmlformats.org/officeDocument/2006/relationships/hyperlink" Id="rId198" Target="https://medinform.jmir.org/2019/3/e13331" TargetMode="External" /><Relationship Type="http://schemas.openxmlformats.org/officeDocument/2006/relationships/hyperlink" Id="rId313" Target="https://medinform.jmir.org/2022/2/e32875" TargetMode="External" /><Relationship Type="http://schemas.openxmlformats.org/officeDocument/2006/relationships/hyperlink" Id="rId353" Target="https://newsroom.ibm.com/2022-01-21-Francisco-Partners-to-Acquire-IBMs-Healthcare-Data-and-Analytics-Assets" TargetMode="External" /><Relationship Type="http://schemas.openxmlformats.org/officeDocument/2006/relationships/hyperlink" Id="rId367" Target="https://onlinelibrary.wiley.com/doi/abs/10.1057/palgrave.emr.1500057" TargetMode="External" /><Relationship Type="http://schemas.openxmlformats.org/officeDocument/2006/relationships/hyperlink" Id="rId219" Target="https://onlinelibrary.wiley.com/doi/abs/10.1111/1467-8551.12332" TargetMode="External" /><Relationship Type="http://schemas.openxmlformats.org/officeDocument/2006/relationships/hyperlink" Id="rId290" Target="https://onlinelibrary.wiley.com/doi/abs/10.1111/j.1540-5885.2010.00798.x" TargetMode="External" /><Relationship Type="http://schemas.openxmlformats.org/officeDocument/2006/relationships/hyperlink" Id="rId277" Target="https://onlinelibrary.wiley.com/doi/abs/10.1111/j.1547-5069.2009.01319.x" TargetMode="External" /><Relationship Type="http://schemas.openxmlformats.org/officeDocument/2006/relationships/hyperlink" Id="rId357" Target="https://oulurepo.oulu.fi/bitstream/handle/10024/27921/nbnfi-fe2020050424858.pdf" TargetMode="External" /><Relationship Type="http://schemas.openxmlformats.org/officeDocument/2006/relationships/hyperlink" Id="rId392" Target="https://pages.himss.org/LP-HA-Case-Study-UC-Davis.html" TargetMode="External" /><Relationship Type="http://schemas.openxmlformats.org/officeDocument/2006/relationships/hyperlink" Id="rId136" Target="https://papers.ssrn.com/sol3/papers.cfm?abstract_id=5268176" TargetMode="External" /><Relationship Type="http://schemas.openxmlformats.org/officeDocument/2006/relationships/hyperlink" Id="rId271" Target="https://pmc.ncbi.nlm.nih.gov/articles/PMC10243608/" TargetMode="External" /><Relationship Type="http://schemas.openxmlformats.org/officeDocument/2006/relationships/hyperlink" Id="rId253" Target="https://pmc.ncbi.nlm.nih.gov/articles/PMC10802134/" TargetMode="External" /><Relationship Type="http://schemas.openxmlformats.org/officeDocument/2006/relationships/hyperlink" Id="rId255" Target="https://pmc.ncbi.nlm.nih.gov/articles/PMC11919231/" TargetMode="External" /><Relationship Type="http://schemas.openxmlformats.org/officeDocument/2006/relationships/hyperlink" Id="rId146" Target="https://publishing.emanresearch.org/Journal/FullText/6104" TargetMode="External" /><Relationship Type="http://schemas.openxmlformats.org/officeDocument/2006/relationships/hyperlink" Id="rId269" Target="https://pubmed.ncbi.nlm.nih.gov/20054502/" TargetMode="External" /><Relationship Type="http://schemas.openxmlformats.org/officeDocument/2006/relationships/hyperlink" Id="rId317" Target="https://pubsonline.informs.org/doi/abs/10.1287/educ.2023.0257" TargetMode="External" /><Relationship Type="http://schemas.openxmlformats.org/officeDocument/2006/relationships/hyperlink" Id="rId130" Target="https://resources.anthropic.com/code-modernization-playbook" TargetMode="External" /><Relationship Type="http://schemas.openxmlformats.org/officeDocument/2006/relationships/hyperlink" Id="rId204" Target="https://sarcouncil.com/2025/06/ai-driven-mainframe-modernization-unlocking-legacy-data-for-cloud-analytics" TargetMode="External" /><Relationship Type="http://schemas.openxmlformats.org/officeDocument/2006/relationships/hyperlink" Id="rId327" Target="https://sarcouncil.com/download-article/SJECS-209-_2025-630-636.pdf" TargetMode="External" /><Relationship Type="http://schemas.openxmlformats.org/officeDocument/2006/relationships/hyperlink" Id="rId225" Target="https://scholarworks.waldenu.edu/cgi/viewcontent.cgi?article=12395&amp;context=dissertations" TargetMode="External" /><Relationship Type="http://schemas.openxmlformats.org/officeDocument/2006/relationships/hyperlink" Id="rId325" Target="https://tei.forrester.com/go/microsoft/powerappstei/?lang=en-us" TargetMode="External" /><Relationship Type="http://schemas.openxmlformats.org/officeDocument/2006/relationships/hyperlink" Id="rId384" Target="https://wendyju.com/publications/18_ijee3593.pdf" TargetMode="External" /><Relationship Type="http://schemas.openxmlformats.org/officeDocument/2006/relationships/hyperlink" Id="rId382" Target="https://www.academia.edu/download/41283190/Design_and_evaluation_of_systems_to_supp20160117-25708-98zc50.pdf" TargetMode="External" /><Relationship Type="http://schemas.openxmlformats.org/officeDocument/2006/relationships/hyperlink" Id="rId361" Target="https://www.academicradiology.org/article/S1076-6332(21)00140-9/abstract" TargetMode="External" /><Relationship Type="http://schemas.openxmlformats.org/officeDocument/2006/relationships/hyperlink" Id="rId349" Target="https://www.acpjournals.org/doi/10.7326/M19-0871" TargetMode="External" /><Relationship Type="http://schemas.openxmlformats.org/officeDocument/2006/relationships/hyperlink" Id="rId111" Target="https://www.ahima.org/news-publications/press-room-press-releases/2023-press-releases/health-information-workforce-shortages-persist-as-ai-shows-promise-ahima-survey-reveals/" TargetMode="External" /><Relationship Type="http://schemas.openxmlformats.org/officeDocument/2006/relationships/hyperlink" Id="rId134" Target="https://www.allmultidisciplinaryjournal.com/uploads/archives/20250306182550_MGE-2025-2-018.1.pdf" TargetMode="External" /><Relationship Type="http://schemas.openxmlformats.org/officeDocument/2006/relationships/hyperlink" Id="rId261" Target="https://www.annfammed.org/content/17/1/36" TargetMode="External" /><Relationship Type="http://schemas.openxmlformats.org/officeDocument/2006/relationships/hyperlink" Id="rId359" Target="https://www.cnbc.com/2021/01/04/haven-the-amazon-berkshire-jpmorgan-venture-to-disrupt-healthcare-is-disbanding-after-3-years.html" TargetMode="External" /><Relationship Type="http://schemas.openxmlformats.org/officeDocument/2006/relationships/hyperlink" Id="rId273" Target="https://www.diva-portal.org/smash/record.jsf?pid=diva2:1684142" TargetMode="External" /><Relationship Type="http://schemas.openxmlformats.org/officeDocument/2006/relationships/hyperlink" Id="rId281" Target="https://www.emerald.com/insight/content/doi/10.1108/13660750510611198/full/html" TargetMode="External" /><Relationship Type="http://schemas.openxmlformats.org/officeDocument/2006/relationships/hyperlink" Id="rId292" Target="https://www.emerald.com/insight/content/doi/10.1108/13673270610650067/full/html" TargetMode="External" /><Relationship Type="http://schemas.openxmlformats.org/officeDocument/2006/relationships/hyperlink" Id="rId347" Target="https://www.emerald.com/insight/content/doi/10.1108/JKM-03-2024-0262/full/html" TargetMode="External" /><Relationship Type="http://schemas.openxmlformats.org/officeDocument/2006/relationships/hyperlink" Id="rId200" Target="https://www.frontiersin.org/articles/10.3389/fdata.2024.1371680" TargetMode="External" /><Relationship Type="http://schemas.openxmlformats.org/officeDocument/2006/relationships/hyperlink" Id="rId345" Target="https://www.frontiersin.org/articles/10.3389/fpsyg.2019.02730" TargetMode="External" /><Relationship Type="http://schemas.openxmlformats.org/officeDocument/2006/relationships/hyperlink" Id="rId233" Target="https://www.health.org.uk/publications/understanding-analytical-capability-in-health-care" TargetMode="External" /><Relationship Type="http://schemas.openxmlformats.org/officeDocument/2006/relationships/hyperlink" Id="rId115" Target="https://www.healthcareitnews.com/news/asia/himss24-apac-adoption-model-analytics-maturity-gets-facelift" TargetMode="External" /><Relationship Type="http://schemas.openxmlformats.org/officeDocument/2006/relationships/hyperlink" Id="rId231" Target="https://www.healthcatalyst.com/learn/insights/healthcare-analytics-adoption-model-roadmap-analytic-maturity" TargetMode="External" /><Relationship Type="http://schemas.openxmlformats.org/officeDocument/2006/relationships/hyperlink" Id="rId113" Target="https://www.himss.org/maturity-models/amam/" TargetMode="External" /><Relationship Type="http://schemas.openxmlformats.org/officeDocument/2006/relationships/hyperlink" Id="rId123" Target="https://www.himss.org/resources/the-future-of-workforce/" TargetMode="External" /><Relationship Type="http://schemas.openxmlformats.org/officeDocument/2006/relationships/hyperlink" Id="rId296" Target="https://www.inderscienceonline.com/doi/abs/10.1504/IJNKM.2006.009880" TargetMode="External" /><Relationship Type="http://schemas.openxmlformats.org/officeDocument/2006/relationships/hyperlink" Id="rId144" Target="https://www.ingentaconnect.com/content/hsp/mih/2024/00000008/00000004/art00006" TargetMode="External" /><Relationship Type="http://schemas.openxmlformats.org/officeDocument/2006/relationships/hyperlink" Id="rId307" Target="https://www.jmir.org/2020/10/e20346/" TargetMode="External" /><Relationship Type="http://schemas.openxmlformats.org/officeDocument/2006/relationships/hyperlink" Id="rId215" Target="https://www.jmir.org/2024/1/e56316" TargetMode="External" /><Relationship Type="http://schemas.openxmlformats.org/officeDocument/2006/relationships/hyperlink" Id="rId275" Target="https://www.mdpi.com/1660-4601/17/12/4267" TargetMode="External" /><Relationship Type="http://schemas.openxmlformats.org/officeDocument/2006/relationships/hyperlink" Id="rId221" Target="https://www.mdpi.com/2227-9032/13/1/1" TargetMode="External" /><Relationship Type="http://schemas.openxmlformats.org/officeDocument/2006/relationships/hyperlink" Id="rId172" Target="https://www.mdpi.com/2504-2289/9/10/256" TargetMode="External" /><Relationship Type="http://schemas.openxmlformats.org/officeDocument/2006/relationships/hyperlink" Id="rId227" Target="https://www.nature.com/articles/s41746-019-0118-9" TargetMode="External" /><Relationship Type="http://schemas.openxmlformats.org/officeDocument/2006/relationships/hyperlink" Id="rId170" Target="https://www.nature.com/articles/s41746-024-01390-4" TargetMode="External" /><Relationship Type="http://schemas.openxmlformats.org/officeDocument/2006/relationships/hyperlink" Id="rId125" Target="https://www.nsinursingsolutions.com/documents/library/nsi_national_health_care_retention_report.pdf" TargetMode="External" /><Relationship Type="http://schemas.openxmlformats.org/officeDocument/2006/relationships/hyperlink" Id="rId127" Target="https://www.nyulawreview.org/issues/volume-94-number-4/data-standardization/" TargetMode="External" /><Relationship Type="http://schemas.openxmlformats.org/officeDocument/2006/relationships/hyperlink" Id="rId265" Target="https://www.oracle.com/human-capital-management/cost-employee-turnover-healthcare/" TargetMode="External" /><Relationship Type="http://schemas.openxmlformats.org/officeDocument/2006/relationships/hyperlink" Id="rId343" Target="https://www.precedenceresearch.com/healthcare-analytics-market" TargetMode="External" /><Relationship Type="http://schemas.openxmlformats.org/officeDocument/2006/relationships/hyperlink" Id="rId119" Target="https://www.prnewswire.com/news-releases/taiwans-first-hospital-to-achieve-amam-stage-7-certification-302390824.html" TargetMode="External" /><Relationship Type="http://schemas.openxmlformats.org/officeDocument/2006/relationships/hyperlink" Id="rId202" Target="https://www.proquest.com/openview/0d955ee8209664a4447c9995a1b9e721/1?pq-origsite=gscholar&amp;cbl=326365" TargetMode="External" /><Relationship Type="http://schemas.openxmlformats.org/officeDocument/2006/relationships/hyperlink" Id="rId371" Target="https://www.quantbeckman.com/api/v1/file/5b240742-bf0d-4f8c-a0f9-cb29fab42611.pdf" TargetMode="External" /><Relationship Type="http://schemas.openxmlformats.org/officeDocument/2006/relationships/hyperlink" Id="rId288" Target="https://www.redjournal.org/article/S0360-3016(16)00260-1/fulltext" TargetMode="External" /><Relationship Type="http://schemas.openxmlformats.org/officeDocument/2006/relationships/hyperlink" Id="rId208" Target="https://www.sciencedirect.com/science/article/abs/pii/S0040162516000500" TargetMode="External" /><Relationship Type="http://schemas.openxmlformats.org/officeDocument/2006/relationships/hyperlink" Id="rId210" Target="https://www.sciencedirect.com/science/article/abs/pii/S0148296316304891" TargetMode="External" /><Relationship Type="http://schemas.openxmlformats.org/officeDocument/2006/relationships/hyperlink" Id="rId184" Target="https://www.sciencedirect.com/science/article/pii/S0031320324008197" TargetMode="External" /><Relationship Type="http://schemas.openxmlformats.org/officeDocument/2006/relationships/hyperlink" Id="rId351" Target="https://www.sciencedirect.com/science/article/pii/S0168851021002396" TargetMode="External" /><Relationship Type="http://schemas.openxmlformats.org/officeDocument/2006/relationships/hyperlink" Id="rId309" Target="https://www.sciencedirect.com/science/article/pii/S1386505623001296" TargetMode="External" /><Relationship Type="http://schemas.openxmlformats.org/officeDocument/2006/relationships/hyperlink" Id="rId174" Target="https://www.sciencedirect.com/science/article/pii/S1386505623001405" TargetMode="External" /><Relationship Type="http://schemas.openxmlformats.org/officeDocument/2006/relationships/hyperlink" Id="rId223" Target="https://www.sciencedirect.com/science/article/pii/S1386505624001916" TargetMode="External" /><Relationship Type="http://schemas.openxmlformats.org/officeDocument/2006/relationships/hyperlink" Id="rId196" Target="https://www.sciencedirect.com/science/article/pii/S1532046414001592" TargetMode="External" /><Relationship Type="http://schemas.openxmlformats.org/officeDocument/2006/relationships/hyperlink" Id="rId190" Target="https://www.sciencedirect.com/science/article/pii/S1532046424000650" TargetMode="External" /><Relationship Type="http://schemas.openxmlformats.org/officeDocument/2006/relationships/hyperlink" Id="rId294" Target="https://www.tandfonline.com/doi/abs/10.1080/08956308.2010.11657637" TargetMode="External" /><Relationship Type="http://schemas.openxmlformats.org/officeDocument/2006/relationships/hyperlink" Id="rId229" Target="https://www.tandfonline.com/doi/full/10.1080/20479700.2018.1531606" TargetMode="External" /><Relationship Type="http://schemas.openxmlformats.org/officeDocument/2006/relationships/hyperlink" Id="rId154" Target="https://www.tdx.cat/bitstream/handle/10803/695722/TGJBR1de1.pdf?sequence=1" TargetMode="External" /><Relationship Type="http://schemas.openxmlformats.org/officeDocument/2006/relationships/hyperlink" Id="rId117"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2026-01-11T09:00:25Z</dcterms:created>
  <dcterms:modified xsi:type="dcterms:W3CDTF">2026-01-11T09:00:25Z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that form a compounding cycle: low analytics maturity (only 39 organizations globally have achieved HIMSS AMAM Stage 6-7), systemic instability characterized by high leadership turnover (53% of CIOs with &lt;3 years tenure) and persistent digital skills shortages reported by 79% of providers,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for data access. The framework reveals how these capabilities interconnect and compound each other.Methods: We conducted a narrative literature review of peer-reviewed studies and industry reports on natural language to SQL generation, healthcare analytics maturity, and workforce turnover. Grey literature sources were assessed using the AACODS checklist. Evidence was synthesized through a three-pillar analytical framework examining how these challenges interconnect and compound each other.Results: Healthcare-specific text-to-SQL benchmarks (EHRSQL, SM3-Text-to-Query)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three-pillar framework reveals compounding dynamics: organizations at low maturity stages experience higher turnover, turnover degrades institutional knowledge needed for maturity advancement, and technical barriers prevent capturing expertise before it is lost.Conclusions: We contribute a three-pillar analytical framework synthesizing evidence on analytics maturity, workforce agility, and technical enablement. The framework reveals compounding effects: low maturity accelerates turnover, turnover degrades maturity, and low enablement prevents recovery. This analytical lens enables organizational self-assessment and informs future research on technology interventions, including conversational AI platforms as one potential application.</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NL2SQL in Healthcare</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1.20.0</vt:lpwstr>
  </property>
</Properties>
</file>