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substantial—and ultimately measured in patient care quality. Organizations continue investing in analytics infrastructure while struggling to realize value from their data assets. Analytics maturity gaps lead to suboptimal clinical decisions that directly affect patient outcomes. Workforce turnover causes loss of institutional knowledge critical to care continuity and safety. Technical barriers prevent clinical staff from answering care-focused questions with data, forcing reliance on intuition rather than evidence. These three interconnected challenges do not merely represent operational inefficiencies or unrealized competitive advantages; they represent ongoing harm to the primary mission of healthcare: delivering quality patient care.</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[A31],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65"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3" w:name="X79e53be5adb6b9863f8ca49c43cb7059ea634a1"/>
    <w:p>
      <w:pPr>
        <w:pStyle w:val="Heading2"/>
      </w:pPr>
      <w:r>
        <w:rPr>
          <w:rStyle w:val="SectionNumber"/>
        </w:rPr>
        <w:t xml:space="preserve">4.1</w:t>
      </w:r>
      <w:r>
        <w:tab/>
      </w:r>
      <w:r>
        <w:t xml:space="preserve">1. Current State of Natural Language to SQL Generation</w:t>
      </w:r>
    </w:p>
    <w:bookmarkStart w:id="40"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0"/>
    <w:bookmarkStart w:id="41"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1"/>
    <w:bookmarkStart w:id="42"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2"/>
    <w:bookmarkEnd w:id="43"/>
    <w:bookmarkStart w:id="47" w:name="state-of-healthcare-analytics-maturity"/>
    <w:p>
      <w:pPr>
        <w:pStyle w:val="Heading2"/>
      </w:pPr>
      <w:r>
        <w:rPr>
          <w:rStyle w:val="SectionNumber"/>
        </w:rPr>
        <w:t xml:space="preserve">4.2</w:t>
      </w:r>
      <w:r>
        <w:tab/>
      </w:r>
      <w:r>
        <w:t xml:space="preserve">2. State of Healthcare Analytics Maturity</w:t>
      </w:r>
    </w:p>
    <w:bookmarkStart w:id="44"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4"/>
    <w:bookmarkStart w:id="45"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5"/>
    <w:bookmarkStart w:id="46"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46"/>
    <w:bookmarkEnd w:id="47"/>
    <w:bookmarkStart w:id="51" w:name="X033aaa01add75caa19416ed7b909f71ff5bd76d"/>
    <w:p>
      <w:pPr>
        <w:pStyle w:val="Heading2"/>
      </w:pPr>
      <w:r>
        <w:rPr>
          <w:rStyle w:val="SectionNumber"/>
        </w:rPr>
        <w:t xml:space="preserve">4.3</w:t>
      </w:r>
      <w:r>
        <w:tab/>
      </w:r>
      <w:r>
        <w:t xml:space="preserve">3. Healthcare Workforce Turnover and Knowledge Loss</w:t>
      </w:r>
    </w:p>
    <w:bookmarkStart w:id="48"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8"/>
    <w:bookmarkStart w:id="49"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9"/>
    <w:bookmarkStart w:id="50"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50"/>
    <w:bookmarkEnd w:id="51"/>
    <w:bookmarkStart w:id="55" w:name="X4fcdb465b5d130fc136a191f4ad96d06b004362"/>
    <w:p>
      <w:pPr>
        <w:pStyle w:val="Heading2"/>
      </w:pPr>
      <w:r>
        <w:rPr>
          <w:rStyle w:val="SectionNumber"/>
        </w:rPr>
        <w:t xml:space="preserve">4.4</w:t>
      </w:r>
      <w:r>
        <w:tab/>
      </w:r>
      <w:r>
        <w:t xml:space="preserve">4. Integration of Evidence: The Case for Conversational AI</w:t>
      </w:r>
    </w:p>
    <w:bookmarkStart w:id="52"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2"/>
    <w:bookmarkStart w:id="53"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3"/>
    <w:bookmarkStart w:id="54"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4"/>
    <w:bookmarkEnd w:id="55"/>
    <w:bookmarkStart w:id="59" w:name="Xe532debb859e62ad2038db373f15ff8608a8c3a"/>
    <w:p>
      <w:pPr>
        <w:pStyle w:val="Heading2"/>
      </w:pPr>
      <w:r>
        <w:rPr>
          <w:rStyle w:val="SectionNumber"/>
        </w:rPr>
        <w:t xml:space="preserve">4.5</w:t>
      </w:r>
      <w:r>
        <w:tab/>
      </w:r>
      <w:r>
        <w:t xml:space="preserve">5. Implications for Healthcare Organizations</w:t>
      </w:r>
    </w:p>
    <w:bookmarkStart w:id="56"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6"/>
    <w:bookmarkStart w:id="57"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7"/>
    <w:bookmarkStart w:id="58"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8"/>
    <w:bookmarkEnd w:id="59"/>
    <w:bookmarkStart w:id="60"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60"/>
    <w:bookmarkStart w:id="64"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1"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[A27].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[A28].</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[A29]. At the institutional level, data fragmentation across different organizations creates barriers to linkage, access, and care continuity, while governance issues including unclear responsibilities and weak collaboration compound the problem [A30].</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1"/>
    <w:bookmarkStart w:id="62"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2"/>
    <w:bookmarkStart w:id="63"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3"/>
    <w:bookmarkEnd w:id="64"/>
    <w:bookmarkEnd w:id="65"/>
    <w:bookmarkStart w:id="80"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The primary objective of implementing conversational AI platforms in healthcare is advancing the quality of patient care. Secondary benefits—staff productivity, operational insights, institutional knowledge preservation—serve this overarching mission. Funds saved through improved efficiency can be redirected to patient outcomes and system capacity.</w:t>
      </w:r>
    </w:p>
    <w:p>
      <w:pPr>
        <w:pStyle w:val="BodyText"/>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6"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6"/>
    <w:bookmarkStart w:id="71" w:name="core-capabilities"/>
    <w:p>
      <w:pPr>
        <w:pStyle w:val="Heading2"/>
      </w:pPr>
      <w:r>
        <w:rPr>
          <w:rStyle w:val="SectionNumber"/>
        </w:rPr>
        <w:t xml:space="preserve">5.2</w:t>
      </w:r>
      <w:r>
        <w:tab/>
      </w:r>
      <w:r>
        <w:t xml:space="preserve">Core Capabilities</w:t>
      </w:r>
    </w:p>
    <w:bookmarkStart w:id="67"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7"/>
    <w:bookmarkStart w:id="68"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8"/>
    <w:bookmarkStart w:id="69"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9"/>
    <w:bookmarkStart w:id="70"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70"/>
    <w:bookmarkEnd w:id="71"/>
    <w:bookmarkStart w:id="75" w:name="implementation-framework"/>
    <w:p>
      <w:pPr>
        <w:pStyle w:val="Heading2"/>
      </w:pPr>
      <w:r>
        <w:rPr>
          <w:rStyle w:val="SectionNumber"/>
        </w:rPr>
        <w:t xml:space="preserve">5.3</w:t>
      </w:r>
      <w:r>
        <w:tab/>
      </w:r>
      <w:r>
        <w:t xml:space="preserve">Implementation Framework</w:t>
      </w:r>
    </w:p>
    <w:bookmarkStart w:id="72"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2"/>
    <w:bookmarkStart w:id="73"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3"/>
    <w:bookmarkStart w:id="74"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4"/>
    <w:bookmarkEnd w:id="75"/>
    <w:bookmarkStart w:id="79" w:name="risk-mitigation-and-quality-assurance"/>
    <w:p>
      <w:pPr>
        <w:pStyle w:val="Heading2"/>
      </w:pPr>
      <w:r>
        <w:rPr>
          <w:rStyle w:val="SectionNumber"/>
        </w:rPr>
        <w:t xml:space="preserve">5.4</w:t>
      </w:r>
      <w:r>
        <w:tab/>
      </w:r>
      <w:r>
        <w:t xml:space="preserve">Risk Mitigation and Quality Assurance</w:t>
      </w:r>
    </w:p>
    <w:bookmarkStart w:id="76"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6"/>
    <w:bookmarkStart w:id="77"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7"/>
    <w:bookmarkStart w:id="78"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8"/>
    <w:bookmarkEnd w:id="79"/>
    <w:bookmarkEnd w:id="80"/>
    <w:bookmarkStart w:id="91"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5" w:name="academic-study-results"/>
    <w:p>
      <w:pPr>
        <w:pStyle w:val="Heading2"/>
      </w:pPr>
      <w:r>
        <w:rPr>
          <w:rStyle w:val="SectionNumber"/>
        </w:rPr>
        <w:t xml:space="preserve">6.1</w:t>
      </w:r>
      <w:r>
        <w:tab/>
      </w:r>
      <w:r>
        <w:t xml:space="preserve">Academic Study Results</w:t>
      </w:r>
    </w:p>
    <w:bookmarkStart w:id="81"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1"/>
    <w:bookmarkStart w:id="82"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2"/>
    <w:bookmarkStart w:id="83"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3"/>
    <w:bookmarkStart w:id="84"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4"/>
    <w:bookmarkEnd w:id="85"/>
    <w:bookmarkStart w:id="87" w:name="real-world-case-studies"/>
    <w:p>
      <w:pPr>
        <w:pStyle w:val="Heading2"/>
      </w:pPr>
      <w:r>
        <w:rPr>
          <w:rStyle w:val="SectionNumber"/>
        </w:rPr>
        <w:t xml:space="preserve">6.2</w:t>
      </w:r>
      <w:r>
        <w:tab/>
      </w:r>
      <w:r>
        <w:t xml:space="preserve">Real-World Case Studies</w:t>
      </w:r>
    </w:p>
    <w:bookmarkStart w:id="86"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6"/>
    <w:bookmarkEnd w:id="87"/>
    <w:bookmarkStart w:id="90" w:name="economic-impact-analysis"/>
    <w:p>
      <w:pPr>
        <w:pStyle w:val="Heading2"/>
      </w:pPr>
      <w:r>
        <w:rPr>
          <w:rStyle w:val="SectionNumber"/>
        </w:rPr>
        <w:t xml:space="preserve">6.3</w:t>
      </w:r>
      <w:r>
        <w:tab/>
      </w:r>
      <w:r>
        <w:t xml:space="preserve">Economic Impact Analysis</w:t>
      </w:r>
    </w:p>
    <w:bookmarkStart w:id="88"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8"/>
    <w:bookmarkStart w:id="89"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9"/>
    <w:bookmarkEnd w:id="90"/>
    <w:bookmarkEnd w:id="91"/>
    <w:bookmarkStart w:id="113" w:name="discussion"/>
    <w:p>
      <w:pPr>
        <w:pStyle w:val="Heading1"/>
      </w:pPr>
      <w:r>
        <w:rPr>
          <w:rStyle w:val="SectionNumber"/>
        </w:rPr>
        <w:t xml:space="preserve">7</w:t>
      </w:r>
      <w:r>
        <w:tab/>
      </w:r>
      <w:r>
        <w:t xml:space="preserve">Discussion</w:t>
      </w:r>
    </w:p>
    <w:bookmarkStart w:id="97"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2"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2"/>
    <w:bookmarkStart w:id="93"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3"/>
    <w:bookmarkStart w:id="94"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4"/>
    <w:bookmarkStart w:id="95"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5"/>
    <w:bookmarkStart w:id="96"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6"/>
    <w:bookmarkEnd w:id="97"/>
    <w:bookmarkStart w:id="104"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8"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8"/>
    <w:bookmarkStart w:id="99"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9"/>
    <w:bookmarkStart w:id="100"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100"/>
    <w:bookmarkStart w:id="101"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1"/>
    <w:bookmarkStart w:id="102"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2"/>
    <w:bookmarkStart w:id="103"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3"/>
    <w:bookmarkEnd w:id="104"/>
    <w:bookmarkStart w:id="108"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5"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5"/>
    <w:bookmarkStart w:id="106"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6"/>
    <w:bookmarkStart w:id="107"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7"/>
    <w:bookmarkEnd w:id="108"/>
    <w:bookmarkStart w:id="112"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9"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9"/>
    <w:bookmarkStart w:id="110"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10"/>
    <w:bookmarkStart w:id="111"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1"/>
    <w:bookmarkEnd w:id="112"/>
    <w:bookmarkEnd w:id="113"/>
    <w:bookmarkStart w:id="120" w:name="conclusion"/>
    <w:p>
      <w:pPr>
        <w:pStyle w:val="Heading1"/>
      </w:pPr>
      <w:r>
        <w:rPr>
          <w:rStyle w:val="SectionNumber"/>
        </w:rPr>
        <w:t xml:space="preserve">8</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114" w:name="the-dual-dimensions-of-harm"/>
    <w:p>
      <w:pPr>
        <w:pStyle w:val="Heading2"/>
      </w:pPr>
      <w:r>
        <w:rPr>
          <w:rStyle w:val="SectionNumber"/>
        </w:rPr>
        <w:t xml:space="preserve">8.1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37"/>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37"/>
        </w:numPr>
      </w:pPr>
      <w:r>
        <w:rPr>
          <w:b/>
          <w:bCs/>
        </w:rPr>
        <w:t xml:space="preserve">Workforce turnover</w:t>
      </w:r>
      <w:r>
        <w:t xml:space="preserve"> </w:t>
      </w:r>
      <w:r>
        <w:t xml:space="preserve">(34% annually for healthcare IT staff [A10]) causes institutional memory loss that disrupts care continuity and erodes the knowledge base essential for quality improvement</w:t>
      </w:r>
    </w:p>
    <w:p>
      <w:pPr>
        <w:pStyle w:val="Compact"/>
        <w:numPr>
          <w:ilvl w:val="0"/>
          <w:numId w:val="1037"/>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114"/>
    <w:bookmarkStart w:id="115" w:name="summary-of-contributions"/>
    <w:p>
      <w:pPr>
        <w:pStyle w:val="Heading2"/>
      </w:pPr>
      <w:r>
        <w:rPr>
          <w:rStyle w:val="SectionNumber"/>
        </w:rPr>
        <w:t xml:space="preserve">8.2</w:t>
      </w:r>
      <w:r>
        <w:tab/>
      </w:r>
      <w:r>
        <w:t xml:space="preserve">Summary of Contributions</w:t>
      </w:r>
    </w:p>
    <w:p>
      <w:pPr>
        <w:pStyle w:val="FirstParagraph"/>
      </w:pPr>
      <w:r>
        <w:t xml:space="preserve">This narrative review contributes to healthcare informatics scholarship through:</w:t>
      </w:r>
    </w:p>
    <w:p>
      <w:pPr>
        <w:numPr>
          <w:ilvl w:val="0"/>
          <w:numId w:val="1038"/>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8"/>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8"/>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115"/>
    <w:bookmarkStart w:id="116" w:name="key-findings"/>
    <w:p>
      <w:pPr>
        <w:pStyle w:val="Heading2"/>
      </w:pPr>
      <w:r>
        <w:rPr>
          <w:rStyle w:val="SectionNumber"/>
        </w:rPr>
        <w:t xml:space="preserve">8.3</w:t>
      </w:r>
      <w:r>
        <w:tab/>
      </w:r>
      <w:r>
        <w:t xml:space="preserve">Key Findings</w:t>
      </w:r>
    </w:p>
    <w:p>
      <w:pPr>
        <w:pStyle w:val="FirstParagraph"/>
      </w:pPr>
      <w:r>
        <w:t xml:space="preserve">This review of academic and industry sources establishes several critical findings:</w:t>
      </w:r>
    </w:p>
    <w:p>
      <w:pPr>
        <w:numPr>
          <w:ilvl w:val="0"/>
          <w:numId w:val="103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9"/>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9"/>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6"/>
    <w:bookmarkStart w:id="117" w:name="X763cadd1601e4aaf67a245ab2df69f095516d3d"/>
    <w:p>
      <w:pPr>
        <w:pStyle w:val="Heading2"/>
      </w:pPr>
      <w:r>
        <w:rPr>
          <w:rStyle w:val="SectionNumber"/>
        </w:rPr>
        <w:t xml:space="preserve">8.4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4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4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4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17"/>
    <w:bookmarkStart w:id="118" w:name="future-research-directions-1"/>
    <w:p>
      <w:pPr>
        <w:pStyle w:val="Heading2"/>
      </w:pPr>
      <w:r>
        <w:rPr>
          <w:rStyle w:val="SectionNumber"/>
        </w:rPr>
        <w:t xml:space="preserve">8.5</w:t>
      </w:r>
      <w:r>
        <w:tab/>
      </w:r>
      <w:r>
        <w:t xml:space="preserve">Future Research Directions</w:t>
      </w:r>
    </w:p>
    <w:p>
      <w:pPr>
        <w:pStyle w:val="FirstParagraph"/>
      </w:pPr>
      <w:r>
        <w:t xml:space="preserve">Several research gaps limit the ability to provide definitive organizational guidance:</w:t>
      </w:r>
    </w:p>
    <w:p>
      <w:pPr>
        <w:numPr>
          <w:ilvl w:val="0"/>
          <w:numId w:val="1041"/>
        </w:numPr>
      </w:pPr>
      <w:r>
        <w:rPr>
          <w:b/>
          <w:bCs/>
        </w:rPr>
        <w:t xml:space="preserve">Longitudinal outcomes</w:t>
      </w:r>
      <w:r>
        <w:t xml:space="preserve">: Most implementation studies span 6-24 months; multi-year institutional knowledge preservation effects remain understudied</w:t>
      </w:r>
    </w:p>
    <w:p>
      <w:pPr>
        <w:numPr>
          <w:ilvl w:val="0"/>
          <w:numId w:val="1041"/>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41"/>
        </w:numPr>
      </w:pPr>
      <w:r>
        <w:rPr>
          <w:b/>
          <w:bCs/>
        </w:rPr>
        <w:t xml:space="preserve">Governance frameworks</w:t>
      </w:r>
      <w:r>
        <w:t xml:space="preserve">: Optimal approaches for balancing analytics democratization with data quality and clinical safety standards need development</w:t>
      </w:r>
    </w:p>
    <w:p>
      <w:pPr>
        <w:numPr>
          <w:ilvl w:val="0"/>
          <w:numId w:val="1041"/>
        </w:numPr>
      </w:pPr>
      <w:r>
        <w:rPr>
          <w:b/>
          <w:bCs/>
        </w:rPr>
        <w:t xml:space="preserve">Comparative effectiveness</w:t>
      </w:r>
      <w:r>
        <w:t xml:space="preserve">: Head-to-head comparisons of different technological approaches to addressing the three-pillar challenges remain sparse</w:t>
      </w:r>
    </w:p>
    <w:bookmarkEnd w:id="118"/>
    <w:bookmarkStart w:id="119" w:name="closing-reflection"/>
    <w:p>
      <w:pPr>
        <w:pStyle w:val="Heading2"/>
      </w:pPr>
      <w:r>
        <w:rPr>
          <w:rStyle w:val="SectionNumber"/>
        </w:rPr>
        <w:t xml:space="preserve">8.6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19"/>
    <w:bookmarkEnd w:id="120"/>
    <w:bookmarkStart w:id="121"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21"/>
    <w:bookmarkStart w:id="122"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22"/>
    <w:bookmarkStart w:id="123"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3"/>
    <w:bookmarkStart w:id="124"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4"/>
    <w:bookmarkStart w:id="125"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5"/>
    <w:bookmarkStart w:id="126"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6"/>
    <w:bookmarkStart w:id="129" w:name="references"/>
    <w:p>
      <w:pPr>
        <w:pStyle w:val="Heading1"/>
      </w:pPr>
      <w:r>
        <w:rPr>
          <w:rStyle w:val="SectionNumber"/>
        </w:rPr>
        <w:t xml:space="preserve">15</w:t>
      </w:r>
      <w:r>
        <w:tab/>
      </w:r>
      <w:r>
        <w:t xml:space="preserve">References</w:t>
      </w:r>
    </w:p>
    <w:bookmarkStart w:id="127"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Aulawi, H., Ramdhani, M. A., Slamet, C., Ainisyifa, H., &amp; Darmalaksana, W. (2017). Functional need analysis of knowledge portal design in higher education institution.</w:t>
      </w:r>
      <w:r>
        <w:t xml:space="preserve"> </w:t>
      </w:r>
      <w:r>
        <w:rPr>
          <w:i/>
          <w:iCs/>
        </w:rPr>
        <w:t xml:space="preserve">International Journal of Soft Computing</w:t>
      </w:r>
      <w:r>
        <w:t xml:space="preserve">, 12(2), 132-141. https://digilib.uinsgd.ac.id/5114/</w:t>
      </w:r>
    </w:p>
    <w:p>
      <w:pPr>
        <w:pStyle w:val="BodyText"/>
      </w:pPr>
      <w:r>
        <w:t xml:space="preserve">[A27]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[A28]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[A29]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[A30]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[A31] Tyndall, J. (2010). AACODS Checklist. Flinders University. https://dspace.flinders.edu.au/jspui/bitstream/2328/3326/4/AACODS_Checklist.pdf</w:t>
      </w:r>
    </w:p>
    <w:bookmarkEnd w:id="127"/>
    <w:bookmarkStart w:id="128"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8"/>
    <w:bookmarkEnd w:id="129"/>
    <w:bookmarkStart w:id="136" w:name="appendices"/>
    <w:p>
      <w:pPr>
        <w:pStyle w:val="Heading1"/>
      </w:pPr>
      <w:r>
        <w:rPr>
          <w:rStyle w:val="SectionNumber"/>
        </w:rPr>
        <w:t xml:space="preserve">16</w:t>
      </w:r>
      <w:r>
        <w:tab/>
      </w:r>
      <w:r>
        <w:t xml:space="preserve">Appendices</w:t>
      </w:r>
    </w:p>
    <w:bookmarkStart w:id="130"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30"/>
    <w:bookmarkStart w:id="131"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31"/>
    <w:bookmarkStart w:id="135" w:name="Xbfd30549e6247e2f3e5132a039875af0e2849bb"/>
    <w:p>
      <w:pPr>
        <w:pStyle w:val="Heading2"/>
      </w:pPr>
      <w:r>
        <w:rPr>
          <w:rStyle w:val="SectionNumber"/>
        </w:rPr>
        <w:t xml:space="preserve">16.3</w:t>
      </w:r>
      <w:r>
        <w:tab/>
      </w:r>
      <w:r>
        <w:t xml:space="preserve">Appendix C: Healthcare NL2SQL Query Examples</w:t>
      </w:r>
    </w:p>
    <w:bookmarkStart w:id="132"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32"/>
    <w:bookmarkStart w:id="133"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3"/>
    <w:bookmarkStart w:id="134"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2025-12-16T04:42:31Z</dcterms:created>
  <dcterms:modified xsi:type="dcterms:W3CDTF">2025-12-16T04:42:31Z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