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 Foundational research on natural language interfaces to databases established that modular architecture principles enable effective bridging of legacy data access challenges [A46], with modern implementations demonstrating that the same large language models underlying code modernization can serve as natural language interfaces to legacy systems [A47], [A48].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 [A62]. When analytics barriers are addressed, outcomes improve substantially: one Medicare ACO reduced readmission rates from 24% to 17.8% and achieved $1.6 million in cost savings by implementing data analytics to overcome EHR fragmentation [A64]. Technical barriers remain pervasive, with 68% of healthcare organizations citing data interoperability as the leading obstacle to analytics adoption, followed by privacy concerns (64%) and insufficient staff training (59%) [A65]. Physician technology adoption faces empirically validated barriers including perceived threat and inequity from workflow changes, directly impacting behavioral intentions toward analytics tools [A63].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 Figure 1 illustrates this architecture, showing how clinical users interact with a conversational AI interface that draws on organizational knowledge infrastructure to generate contextual insights.</w:t>
      </w:r>
    </w:p>
    <w:p>
      <w:pPr>
        <w:pStyle w:val="Compact"/>
        <w:numPr>
          <w:ilvl w:val="0"/>
          <w:numId w:val="1004"/>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68 academic and 11 industry sources (79 total).</w:t>
      </w:r>
    </w:p>
    <w:p>
      <w:pPr>
        <w:pStyle w:val="BodyText"/>
      </w:pPr>
      <w:r>
        <w:t xml:space="preserve">Figure 2 illustrates the literature selection process, showing progression from initial database search through screening and quality assessment to the final corpus of 79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[A30],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Dated workforce statistics</w:t>
      </w:r>
      <w:r>
        <w:t xml:space="preserve">: The primary healthcare IT turnover statistic (34% annually) derives from Ang and Slaughter’s 2004 study [A10]. While recent surveys confirm workforce challenges persist [I11] and contemporary evidence suggests the situation may have worsened (55% intent to leave among public health informatics specialists [A66]), no study has directly replicated the 2004 tenure measurement methodology.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79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79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8"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Section 2 (Methodology), we synthesize findings across three domains: natural language to SQL generation, healthcare analytics maturity, and workforce dynamics.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5"/>
    <w:bookmarkStart w:id="46"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 [A36]. Business analysts using these interfaces spend 42% more time on analysis rather than query construction [A36].</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 [A35]. User studies show NL2SQL systems reduce query completion times by 10-30% compared to traditional SQL platforms while improving accuracy from 50% to 75%, with users recovering from errors 30-40 seconds faster [A38].</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 [A37].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 [A43]. NLP-driven data entry systems have achieved 33% time reduction with 15% accuracy improvement in clinical research settings [A44]. Healthcare-specific NL2SQL models such as MedT5SQL achieve 80.63% exact match accuracy on the MIMICSQL benchmark, demonstrating that domain-adapted language models can effectively translate natural language to SQL for clinical databases [A45].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 [A46] established that modular, decoupled architecture enables effective NL access to legacy systems, a design principle validated across 47 years of subsequent research. Modern implementations demonstrate that retrieval-augmented generation (RAG) approaches reduce specialized training requirements by 87.4% compared to traditional querying methods while achieving 92.3% accuracy in interpreting business-specific terminology from legacy mainframe records [A49]. This convergence of code modernization and natural language interface technologies arises because both rely on the same underlying large language models [A47], [A48], suggesting that organizations investing in either capability simultaneously advance both.</w:t>
      </w:r>
    </w:p>
    <w:bookmarkEnd w:id="46"/>
    <w:bookmarkEnd w:id="47"/>
    <w:bookmarkStart w:id="51" w:name="state-of-healthcare-analytics-maturity"/>
    <w:p>
      <w:pPr>
        <w:pStyle w:val="Heading2"/>
      </w:pPr>
      <w:r>
        <w:rPr>
          <w:rStyle w:val="SectionNumber"/>
        </w:rPr>
        <w:t xml:space="preserve">4.2</w:t>
      </w:r>
      <w:r>
        <w:tab/>
      </w:r>
      <w:r>
        <w:t xml:space="preserve">State of Healthcare Analytics Maturity</w:t>
      </w:r>
    </w:p>
    <w:bookmarkStart w:id="48"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p>
      <w:pPr>
        <w:pStyle w:val="BodyText"/>
      </w:pPr>
      <w:r>
        <w:t xml:space="preserve">Quantitative evidence links analytics maturity directly to patient outcomes. Cross-sectional studies using the HIMSS Electronic Medical Record Adoption Model (EMRAM) demonstrate that hospitals with advanced digital maturity (levels 6-7) have 3.25 times higher odds of achieving better Leapfrog Group Hospital Safety Grades compared to hospitals at EMRAM level 0, with significantly reduced infection rates and fewer adverse events [A54]. Similarly, high-maturity hospitals have 1.8 to 2.24 times higher odds of achieving higher patient experience ratings [A55]. Big data analytics capabilities, combined with complementary organizational resources and analytical personnel skills, improve readmission rates and patient satisfaction [A56], while poor-quality data (a component of lower maturity) results in diagnostic errors, ineffective treatments, and compromised patient care [A57].</w:t>
      </w:r>
    </w:p>
    <w:bookmarkEnd w:id="48"/>
    <w:bookmarkStart w:id="49"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49"/>
    <w:bookmarkStart w:id="50"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and time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4.3</w:t>
      </w:r>
      <w:r>
        <w:tab/>
      </w:r>
      <w:r>
        <w:t xml:space="preserve">Healthcare Workforce Turnover and Knowledge Loss</w:t>
      </w:r>
    </w:p>
    <w:bookmarkStart w:id="52"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replacing a primary care clinician costs healthcare organizations over $500,000 due to lost revenue and recruiting expenses [A67], while physician replacement can reach up to $1 million per departure, with national annual costs estimated at $4.6 billion [A68].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contemporary evidence suggests the turnover challenge persists or has worsened. A 2025 analysis of nationally representative US survey data (n=44,732) found that 55% of public health informatics specialists intended to leave their positions [A66].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 [A58]. Empirical studies demonstrate that nursing unit turnover reduces workgroup learning and is associated with increased patient falls, medication errors, and reduced patient satisfaction [A59]. International evidence links high workforce turnover to poorer continuity of care, particularly in remote health services, with measurable outcomes including increased hospitalizations and years of life lost [A60].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 [A61].</w:t>
      </w:r>
    </w:p>
    <w:bookmarkEnd w:id="52"/>
    <w:bookmarkStart w:id="53"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 [A50], and conventional mechanisms such as documents, blueprints, and procedures fail because tacit knowledge is not easily codified [A51]. Research across multiple industries consistently shows that written reports and databases fail to convey key learning from expert teams [A52], while experts often lack the skills, motivation, or time to document their expertise, and even when documentation is attempted, essential aspects are lost due to lack of shared experience between experts and novices [A53].</w:t>
      </w:r>
    </w:p>
    <w:bookmarkEnd w:id="53"/>
    <w:bookmarkStart w:id="54"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 [A18]</w:t>
      </w:r>
    </w:p>
    <w:p>
      <w:pPr>
        <w:pStyle w:val="Compact"/>
        <w:numPr>
          <w:ilvl w:val="0"/>
          <w:numId w:val="1016"/>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4.4</w:t>
      </w:r>
      <w:r>
        <w:tab/>
      </w:r>
      <w:r>
        <w:t xml:space="preserve">Integration of Evidence: The Case for Conversational AI</w:t>
      </w:r>
    </w:p>
    <w:bookmarkStart w:id="56"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6"/>
    <w:bookmarkStart w:id="57"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 [A39] 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 [A41]. Real-world validation at scale comes from a study of conversational AI across nine NHS mental health services involving 64,862 patients, demonstrating reduced clinician assessment time, shorter patient wait times, and lower dropout rates [A42]. On the clinical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 [A31]. Controlled experiments quantify these benefits: a comparative study of traditional versus low-code development for a healthcare cognitive rehabilitation system found low-code required 47.5 hours versus 888 hours for traditional development, representing a 94.63% reduction in effort [A40]. Industry-sponsored research from Forrester [I5] projects 206% three-year ROI from low-code implementations; peer-reviewed studies report similar findings, with healthcare institutions achieving 177% ROI over 36 months while reducing development time by 67% and technical resource requirements by 58% [A33], and small healthcare clinics achieving 250% cumulative ROI over three years [A34].</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Rapid application development using low-code characteristics enabled an mHealth app for COVID-19 remote care that saved 2,822 hospital bed-days for 400 enrolled patients [A32]. These findings collectively demonstrate that technologies enabling non-technical users to interact with complex systems, whether through visual interfaces or natural language, produce measurable organizational benefits.</w:t>
      </w:r>
    </w:p>
    <w:bookmarkEnd w:id="58"/>
    <w:bookmarkEnd w:id="59"/>
    <w:bookmarkStart w:id="63" w:name="Xe532debb859e62ad2038db373f15ff8608a8c3a"/>
    <w:p>
      <w:pPr>
        <w:pStyle w:val="Heading2"/>
      </w:pPr>
      <w:r>
        <w:rPr>
          <w:rStyle w:val="SectionNumber"/>
        </w:rPr>
        <w:t xml:space="preserve">4.5</w:t>
      </w:r>
      <w:r>
        <w:tab/>
      </w:r>
      <w:r>
        <w:t xml:space="preserve">Implications for Healthcare Organizations</w:t>
      </w:r>
    </w:p>
    <w:bookmarkStart w:id="60"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Peer-reviewed studies corroborate these findings: a systematic review identified cost and time reduction as the most frequently discussed benefits across 17 studies [A31], healthcare institutions report 177% ROI over 36 months with 67% faster development [A33], and small healthcare clinics document 250% cumulative three-year ROI [A34].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1"/>
    <w:bookmarkStart w:id="62"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 [A35], [A36], [A37], [A38]), longitudinal studies tracking sustained productivity improvements over multiple years remain limited</w:t>
      </w:r>
    </w:p>
    <w:bookmarkEnd w:id="64"/>
    <w:bookmarkStart w:id="67"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90" w:name="discussion"/>
    <w:p>
      <w:pPr>
        <w:pStyle w:val="Heading1"/>
      </w:pPr>
      <w:r>
        <w:rPr>
          <w:rStyle w:val="SectionNumber"/>
        </w:rPr>
        <w:t xml:space="preserve">5</w:t>
      </w:r>
      <w:r>
        <w:tab/>
      </w:r>
      <w:r>
        <w:t xml:space="preserve">Discussion</w:t>
      </w:r>
    </w:p>
    <w:bookmarkStart w:id="74"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2"/>
    <w:bookmarkStart w:id="83"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3"/>
    <w:bookmarkStart w:id="84"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4"/>
    <w:bookmarkEnd w:id="85"/>
    <w:bookmarkStart w:id="89"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2"/>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2"/>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2"/>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three-pillar-assessment-rubric"/>
    <w:p>
      <w:pPr>
        <w:pStyle w:val="Heading3"/>
      </w:pPr>
      <w:r>
        <w:rPr>
          <w:rStyle w:val="SectionNumber"/>
        </w:rPr>
        <w:t xml:space="preserve">5.4.2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Convergence Assessment and NL2SQL Indication:</w:t>
      </w:r>
    </w:p>
    <w:tbl>
      <w:tblPr>
        <w:tblStyle w:val="Table"/>
        <w:tblW w:type="pct" w:w="5000"/>
        <w:jc w:val="left"/>
        <w:tblLayout w:type="fixed"/>
        <w:tblLook w:firstRow="1" w:lastRow="0" w:firstColumn="0" w:lastColumn="0" w:noHBand="0" w:noVBand="0" w:val="0020"/>
      </w:tblPr>
      <w:tblGrid>
        <w:gridCol w:w="2603"/>
        <w:gridCol w:w="1301"/>
        <w:gridCol w:w="4014"/>
      </w:tblGrid>
      <w:tr>
        <w:trPr>
          <w:tblHeader w:val="on"/>
        </w:trPr>
        <w:tc>
          <w:tcPr/>
          <w:p>
            <w:pPr>
              <w:pStyle w:val="Compact"/>
              <w:jc w:val="left"/>
            </w:pPr>
            <w:r>
              <w:t xml:space="preserve">Organizational Profile</w:t>
            </w:r>
          </w:p>
        </w:tc>
        <w:tc>
          <w:tcPr/>
          <w:p>
            <w:pPr>
              <w:pStyle w:val="Compact"/>
              <w:jc w:val="left"/>
            </w:pPr>
            <w:r>
              <w:t xml:space="preserve">Assessment</w:t>
            </w:r>
          </w:p>
        </w:tc>
        <w:tc>
          <w:tcPr/>
          <w:p>
            <w:pPr>
              <w:pStyle w:val="Compact"/>
              <w:jc w:val="left"/>
            </w:pPr>
            <w:r>
              <w:t xml:space="preserve">NL2SQL/Conversational AI Relevance</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Opportunistic; enhancement rather than necessity</w:t>
            </w:r>
          </w:p>
        </w:tc>
      </w:tr>
      <w:tr>
        <w:tc>
          <w:tcPr/>
          <w:p>
            <w:pPr>
              <w:pStyle w:val="Compact"/>
              <w:jc w:val="left"/>
            </w:pPr>
            <w:r>
              <w:t xml:space="preserve">1 pillar Higher Risk</w:t>
            </w:r>
          </w:p>
        </w:tc>
        <w:tc>
          <w:tcPr/>
          <w:p>
            <w:pPr>
              <w:pStyle w:val="Compact"/>
              <w:jc w:val="left"/>
            </w:pPr>
            <w:r>
              <w:t xml:space="preserve">Targeted intervention needed</w:t>
            </w:r>
          </w:p>
        </w:tc>
        <w:tc>
          <w:tcPr/>
          <w:p>
            <w:pPr>
              <w:pStyle w:val="Compact"/>
              <w:jc w:val="left"/>
            </w:pPr>
            <w:r>
              <w:t xml:space="preserve">Address specific pillar; monitor for spillover</w:t>
            </w:r>
          </w:p>
        </w:tc>
      </w:tr>
      <w:tr>
        <w:tc>
          <w:tcPr/>
          <w:p>
            <w:pPr>
              <w:pStyle w:val="Compact"/>
              <w:jc w:val="left"/>
            </w:pPr>
            <w:r>
              <w:t xml:space="preserve">2 pillars Higher Risk</w:t>
            </w:r>
          </w:p>
        </w:tc>
        <w:tc>
          <w:tcPr/>
          <w:p>
            <w:pPr>
              <w:pStyle w:val="Compact"/>
              <w:jc w:val="left"/>
            </w:pPr>
            <w:r>
              <w:t xml:space="preserve">Compounding effects likely</w:t>
            </w:r>
          </w:p>
        </w:tc>
        <w:tc>
          <w:tcPr/>
          <w:p>
            <w:pPr>
              <w:pStyle w:val="Compact"/>
              <w:jc w:val="left"/>
            </w:pPr>
            <w:r>
              <w:t xml:space="preserve">Strong indication for comprehensive assessment</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Urgent evaluation warranted; NL2SQL addresses all three dimensions simultaneously</w:t>
            </w:r>
          </w:p>
        </w:tc>
      </w:tr>
    </w:tbl>
    <w:p>
      <w:pPr>
        <w:pStyle w:val="BodyText"/>
      </w:pPr>
      <w:r>
        <w:t xml:space="preserve">NL2SQL platforms specifically target the convergence condition: they reduce Technical Barriers by eliminating SQL requirements, mitigate Workforce Dynamics risks by encoding expertise in queryable systems, and accelerate Analytics Maturity by enabling citizen developer participation [I4]. Organizations at Higher Risk across multiple pillars represent the primary use case for conversational AI adoption.</w:t>
      </w:r>
    </w:p>
    <w:bookmarkEnd w:id="87"/>
    <w:bookmarkStart w:id="88" w:name="implementation-considerations"/>
    <w:p>
      <w:pPr>
        <w:pStyle w:val="Heading3"/>
      </w:pPr>
      <w:r>
        <w:rPr>
          <w:rStyle w:val="SectionNumber"/>
        </w:rPr>
        <w:t xml:space="preserve">5.4.3</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3"/>
        </w:numPr>
      </w:pPr>
      <w:r>
        <w:rPr>
          <w:b/>
          <w:bCs/>
        </w:rPr>
        <w:t xml:space="preserve">Governance Framework Development</w:t>
      </w:r>
      <w:r>
        <w:t xml:space="preserve">: New policies and procedures for democratized analytics</w:t>
      </w:r>
    </w:p>
    <w:p>
      <w:pPr>
        <w:pStyle w:val="Compact"/>
        <w:numPr>
          <w:ilvl w:val="0"/>
          <w:numId w:val="1023"/>
        </w:numPr>
      </w:pPr>
      <w:r>
        <w:rPr>
          <w:b/>
          <w:bCs/>
        </w:rPr>
        <w:t xml:space="preserve">Change Management</w:t>
      </w:r>
      <w:r>
        <w:t xml:space="preserve">: Training and support programs to ensure user adoption</w:t>
      </w:r>
    </w:p>
    <w:p>
      <w:pPr>
        <w:pStyle w:val="Compact"/>
        <w:numPr>
          <w:ilvl w:val="0"/>
          <w:numId w:val="1023"/>
        </w:numPr>
      </w:pPr>
      <w:r>
        <w:rPr>
          <w:b/>
          <w:bCs/>
        </w:rPr>
        <w:t xml:space="preserve">Phased Deployment</w:t>
      </w:r>
      <w:r>
        <w:t xml:space="preserve">: Gradual rollout beginning with analytics-savvy early adopters</w:t>
      </w:r>
    </w:p>
    <w:p>
      <w:pPr>
        <w:pStyle w:val="Compact"/>
        <w:numPr>
          <w:ilvl w:val="0"/>
          <w:numId w:val="1023"/>
        </w:numPr>
      </w:pPr>
      <w:r>
        <w:rPr>
          <w:b/>
          <w:bCs/>
        </w:rPr>
        <w:t xml:space="preserve">Human Oversight</w:t>
      </w:r>
      <w:r>
        <w:t xml:space="preserve">: Current NL2SQL limitations require maintaining human review of AI-generated outputs [A6]</w:t>
      </w:r>
    </w:p>
    <w:bookmarkEnd w:id="88"/>
    <w:bookmarkEnd w:id="89"/>
    <w:bookmarkEnd w:id="90"/>
    <w:bookmarkStart w:id="97"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1"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4"/>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4"/>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4"/>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1"/>
    <w:bookmarkStart w:id="92"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5"/>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5"/>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5"/>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2"/>
    <w:bookmarkStart w:id="93"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6"/>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6"/>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6"/>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6"/>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3"/>
    <w:bookmarkStart w:id="94"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7"/>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7"/>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7"/>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4"/>
    <w:bookmarkStart w:id="95"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8"/>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8"/>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8"/>
        </w:numPr>
      </w:pPr>
      <w:r>
        <w:rPr>
          <w:b/>
          <w:bCs/>
        </w:rPr>
        <w:t xml:space="preserve">Longitudinal outcomes</w:t>
      </w:r>
      <w:r>
        <w:t xml:space="preserve">: Most implementation studies span 6-24 months; multi-year institutional knowledge preservation effects remain understudied</w:t>
      </w:r>
    </w:p>
    <w:p>
      <w:pPr>
        <w:numPr>
          <w:ilvl w:val="0"/>
          <w:numId w:val="1028"/>
        </w:numPr>
      </w:pPr>
      <w:r>
        <w:rPr>
          <w:b/>
          <w:bCs/>
        </w:rPr>
        <w:t xml:space="preserve">Governance frameworks</w:t>
      </w:r>
      <w:r>
        <w:t xml:space="preserve">: Optimal approaches for balancing analytics democratization with data quality and clinical safety standards need development</w:t>
      </w:r>
    </w:p>
    <w:bookmarkEnd w:id="95"/>
    <w:bookmarkStart w:id="96"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6"/>
    <w:bookmarkEnd w:id="97"/>
    <w:bookmarkStart w:id="98"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98"/>
    <w:bookmarkStart w:id="99"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9"/>
    <w:bookmarkStart w:id="100"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 This research was conducted independently without funding from any affiliated organization.</w:t>
      </w:r>
    </w:p>
    <w:bookmarkEnd w:id="100"/>
    <w:bookmarkStart w:id="101"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1"/>
    <w:bookmarkStart w:id="102"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2"/>
    <w:bookmarkStart w:id="103"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3"/>
    <w:bookmarkStart w:id="106" w:name="references"/>
    <w:p>
      <w:pPr>
        <w:pStyle w:val="Heading1"/>
      </w:pPr>
      <w:r>
        <w:rPr>
          <w:rStyle w:val="SectionNumber"/>
        </w:rPr>
        <w:t xml:space="preserve">13</w:t>
      </w:r>
      <w:r>
        <w:tab/>
      </w:r>
      <w:r>
        <w:t xml:space="preserve">References</w:t>
      </w:r>
    </w:p>
    <w:bookmarkStart w:id="104"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p>
      <w:pPr>
        <w:pStyle w:val="BodyText"/>
      </w:pPr>
      <w:r>
        <w:t xml:space="preserve">[A31] El Kamouchi, H., &amp; Kissi, M. (2023). Low-code/No-code Development: A systematic literature review.</w:t>
      </w:r>
      <w:r>
        <w:t xml:space="preserve"> </w:t>
      </w:r>
      <w:r>
        <w:rPr>
          <w:i/>
          <w:iCs/>
        </w:rPr>
        <w:t xml:space="preserve">2023 14th International Conference on Computing Communication and Networking Technologies (ICCCNT)</w:t>
      </w:r>
      <w:r>
        <w:t xml:space="preserve">, IEEE. DOI: 10.1109/ICCCNT56998.2023.10373712. https://ieeexplore.ieee.org/abstract/document/10373712/</w:t>
      </w:r>
    </w:p>
    <w:p>
      <w:pPr>
        <w:pStyle w:val="BodyText"/>
      </w:pPr>
      <w:r>
        <w:t xml:space="preserve">[A32] Tan, J. P. Y., Tan, M. W. J., Towle, R. M., Lee, J. S. W., et al. (2023). mHealth app to facilitate remote care for patients with COVID-19: rapid development of the DrCovid+ app.</w:t>
      </w:r>
      <w:r>
        <w:t xml:space="preserve"> </w:t>
      </w:r>
      <w:r>
        <w:rPr>
          <w:i/>
          <w:iCs/>
        </w:rPr>
        <w:t xml:space="preserve">JMIR Formative Research</w:t>
      </w:r>
      <w:r>
        <w:t xml:space="preserve">, 7, e38555. DOI: 10.2196/38555. https://formative.jmir.org/2023/1/e38555</w:t>
      </w:r>
    </w:p>
    <w:p>
      <w:pPr>
        <w:pStyle w:val="BodyText"/>
      </w:pPr>
      <w:r>
        <w:t xml:space="preserve">[A33] Mogili, V. B. (2025). Healthcare and Finance Transformation through Enterprise Content, Low-Code, and Automation: A Multinational Technology Corporation’s Approach.</w:t>
      </w:r>
      <w:r>
        <w:t xml:space="preserve"> </w:t>
      </w:r>
      <w:r>
        <w:rPr>
          <w:i/>
          <w:iCs/>
        </w:rPr>
        <w:t xml:space="preserve">Journal of Engineering and Computer Sciences</w:t>
      </w:r>
      <w:r>
        <w:t xml:space="preserve">. https://sarcouncil.com/download-article/SJECS-209-_2025-630-636.pdf</w:t>
      </w:r>
    </w:p>
    <w:p>
      <w:pPr>
        <w:pStyle w:val="BodyText"/>
      </w:pPr>
      <w:r>
        <w:t xml:space="preserve">[A34] Pervaiz, H., &amp; Ijaz, R. (2025). Leveraging Low-Code/No-Code Platforms for Rapid Digital Transformation in Small and Medium-sized Enterprises (SMEs).</w:t>
      </w:r>
      <w:r>
        <w:t xml:space="preserve"> </w:t>
      </w:r>
      <w:r>
        <w:rPr>
          <w:i/>
          <w:iCs/>
        </w:rPr>
        <w:t xml:space="preserve">Multidisciplinary Journal of Science, Technology &amp; Business</w:t>
      </w:r>
      <w:r>
        <w:t xml:space="preserve">. https://imjstb.com/index.php/Journal/article/view/95</w:t>
      </w:r>
    </w:p>
    <w:p>
      <w:pPr>
        <w:pStyle w:val="BodyText"/>
      </w:pPr>
      <w:r>
        <w:t xml:space="preserve">[A35] Yuan, C., Ryan, P. B., Ta, C., Guo, Y., Li, Z., et al. (2019). Criteria2Query: a natural language interface to clinical databases for cohort definition.</w:t>
      </w:r>
      <w:r>
        <w:t xml:space="preserve"> </w:t>
      </w:r>
      <w:r>
        <w:rPr>
          <w:i/>
          <w:iCs/>
        </w:rPr>
        <w:t xml:space="preserve">Journal of the American Medical Informatics Association</w:t>
      </w:r>
      <w:r>
        <w:t xml:space="preserve">, 26(4), 294-305. DOI: 10.1093/jamia/ocy178. https://academic.oup.com/jamia/article-abstract/26/4/294/5308980</w:t>
      </w:r>
    </w:p>
    <w:p>
      <w:pPr>
        <w:pStyle w:val="BodyText"/>
      </w:pPr>
      <w:r>
        <w:t xml:space="preserve">[A36] Dadi, C. B. (2025). Natural Language Interfaces for Database Management: Bridging the Gap Between Users and Data through Conversational AI.</w:t>
      </w:r>
      <w:r>
        <w:t xml:space="preserve"> </w:t>
      </w:r>
      <w:r>
        <w:rPr>
          <w:i/>
          <w:iCs/>
        </w:rPr>
        <w:t xml:space="preserve">Journal of Computer Science and Technology Studies</w:t>
      </w:r>
      <w:r>
        <w:t xml:space="preserve">. https://al-kindipublishers.org/index.php/jcsts/article/view/8823</w:t>
      </w:r>
    </w:p>
    <w:p>
      <w:pPr>
        <w:pStyle w:val="BodyText"/>
      </w:pPr>
      <w:r>
        <w:t xml:space="preserve">[A37] Shah, V., Li, S., Kumar, A., &amp; Saul, L. (2020). SpeakQL: towards speech-driven multimodal querying of structured data.</w:t>
      </w:r>
      <w:r>
        <w:t xml:space="preserve"> </w:t>
      </w:r>
      <w:r>
        <w:rPr>
          <w:i/>
          <w:iCs/>
        </w:rPr>
        <w:t xml:space="preserve">Proceedings of the 2020 ACM SIGMOD International Conference on Management of Data</w:t>
      </w:r>
      <w:r>
        <w:t xml:space="preserve">, 2363-2374. DOI: 10.1145/3318464.3389777. https://dl.acm.org/doi/abs/10.1145/3318464.3389777</w:t>
      </w:r>
    </w:p>
    <w:p>
      <w:pPr>
        <w:pStyle w:val="BodyText"/>
      </w:pPr>
      <w:r>
        <w:t xml:space="preserve">[A38] Ipeirotis, P., &amp; Zheng, H. (2025). Natural Language Interfaces for Databases: What Do Users Think?</w:t>
      </w:r>
      <w:r>
        <w:t xml:space="preserve"> </w:t>
      </w:r>
      <w:r>
        <w:rPr>
          <w:i/>
          <w:iCs/>
        </w:rPr>
        <w:t xml:space="preserve">arXiv preprint arXiv:2511.14718</w:t>
      </w:r>
      <w:r>
        <w:t xml:space="preserve">. https://arxiv.org/abs/2511.14718</w:t>
      </w:r>
    </w:p>
    <w:p>
      <w:pPr>
        <w:pStyle w:val="BodyText"/>
      </w:pPr>
      <w:r>
        <w:t xml:space="preserve">[A39] Milne-Ives, M., De Cock, C., Lim, E., Shehadeh, M. H., et al. (2020). The effectiveness of artificial intelligence conversational agents in health care: systematic review.</w:t>
      </w:r>
      <w:r>
        <w:t xml:space="preserve"> </w:t>
      </w:r>
      <w:r>
        <w:rPr>
          <w:i/>
          <w:iCs/>
        </w:rPr>
        <w:t xml:space="preserve">Journal of Medical Internet Research</w:t>
      </w:r>
      <w:r>
        <w:t xml:space="preserve">, 22(10), e20346. DOI: 10.2196/20346. https://www.jmir.org/2020/10/e20346/</w:t>
      </w:r>
    </w:p>
    <w:p>
      <w:pPr>
        <w:pStyle w:val="BodyText"/>
      </w:pPr>
      <w:r>
        <w:t xml:space="preserve">[A40] Aveiro, D., Freitas, V., Cunha, E., Quintal, F., et al. (2023). Traditional vs. low-code development: comparing needed effort and system complexity in the NexusBRaNT experiment.</w:t>
      </w:r>
      <w:r>
        <w:t xml:space="preserve"> </w:t>
      </w:r>
      <w:r>
        <w:rPr>
          <w:i/>
          <w:iCs/>
        </w:rPr>
        <w:t xml:space="preserve">2023 IEEE 25th Conference on Business Informatics (CBI)</w:t>
      </w:r>
      <w:r>
        <w:t xml:space="preserve">, 1-10. DOI: 10.1109/CBI58679.2023.10186753. https://ieeexplore.ieee.org/document/10186753</w:t>
      </w:r>
    </w:p>
    <w:p>
      <w:pPr>
        <w:pStyle w:val="BodyText"/>
      </w:pPr>
      <w:r>
        <w:t xml:space="preserve">[A41] Li, Y., Liang, S., Zhu, B., Liu, X., Li, J., Chen, D., Qin, J., et al. (2023). Feasibility and effectiveness of artificial intelligence-driven conversational agents in healthcare interventions: A systematic review of randomized controlled trials.</w:t>
      </w:r>
      <w:r>
        <w:t xml:space="preserve"> </w:t>
      </w:r>
      <w:r>
        <w:rPr>
          <w:i/>
          <w:iCs/>
        </w:rPr>
        <w:t xml:space="preserve">International Journal of Medical Informatics</w:t>
      </w:r>
      <w:r>
        <w:t xml:space="preserve">, 178, 105195. DOI: 10.1016/j.ijmedinf.2023.105195. https://www.sciencedirect.com/science/article/pii/S1386505623001296</w:t>
      </w:r>
    </w:p>
    <w:p>
      <w:pPr>
        <w:pStyle w:val="BodyText"/>
      </w:pPr>
      <w:r>
        <w:t xml:space="preserve">[A42] Rollwage, M., Habicht, J., Juechems, K., Carrington, B., et al. (2023). Using conversational AI to facilitate mental health assessments and improve clinical efficiency within psychotherapy services: real-world observational study.</w:t>
      </w:r>
      <w:r>
        <w:t xml:space="preserve"> </w:t>
      </w:r>
      <w:r>
        <w:rPr>
          <w:i/>
          <w:iCs/>
        </w:rPr>
        <w:t xml:space="preserve">JMIR AI</w:t>
      </w:r>
      <w:r>
        <w:t xml:space="preserve">, 2, e44358. DOI: 10.2196/44358. https://ai.jmir.org/2023/1/e44358</w:t>
      </w:r>
    </w:p>
    <w:p>
      <w:pPr>
        <w:pStyle w:val="BodyText"/>
      </w:pPr>
      <w:r>
        <w:t xml:space="preserve">[A43] Safari, L., &amp; Patrick, J. D. (2014). Restricted natural language based querying of clinical databases.</w:t>
      </w:r>
      <w:r>
        <w:t xml:space="preserve"> </w:t>
      </w:r>
      <w:r>
        <w:rPr>
          <w:i/>
          <w:iCs/>
        </w:rPr>
        <w:t xml:space="preserve">Journal of Biomedical Informatics</w:t>
      </w:r>
      <w:r>
        <w:t xml:space="preserve">, 52, 333-353. DOI: 10.1016/j.jbi.2014.08.003. https://www.sciencedirect.com/science/article/pii/S1532046414001592</w:t>
      </w:r>
    </w:p>
    <w:p>
      <w:pPr>
        <w:pStyle w:val="BodyText"/>
      </w:pPr>
      <w:r>
        <w:t xml:space="preserve">[A44] Han, J., Chen, K., Fang, L., Zhang, S., &amp; Wang, F. (2019). Improving the efficacy of the data entry process for clinical research with a natural language processing-driven medical information extraction system.</w:t>
      </w:r>
      <w:r>
        <w:t xml:space="preserve"> </w:t>
      </w:r>
      <w:r>
        <w:rPr>
          <w:i/>
          <w:iCs/>
        </w:rPr>
        <w:t xml:space="preserve">JMIR Medical Informatics</w:t>
      </w:r>
      <w:r>
        <w:t xml:space="preserve">, 7(2), e13331. DOI: 10.2196/13331. https://medinform.jmir.org/2019/2/e13331</w:t>
      </w:r>
    </w:p>
    <w:p>
      <w:pPr>
        <w:pStyle w:val="BodyText"/>
      </w:pPr>
      <w:r>
        <w:t xml:space="preserve">[A45] Marshan, A., Almutairi, A. N., Joannou, A., &amp; Bell, D. (2024). MedT5SQL: a transformers-based large language model for text-to-SQL conversion in the healthcare domain.</w:t>
      </w:r>
      <w:r>
        <w:t xml:space="preserve"> </w:t>
      </w:r>
      <w:r>
        <w:rPr>
          <w:i/>
          <w:iCs/>
        </w:rPr>
        <w:t xml:space="preserve">Frontiers in Big Data</w:t>
      </w:r>
      <w:r>
        <w:t xml:space="preserve">, 7, 1371680. DOI: 10.3389/fdata.2024.1371680. https://www.frontiersin.org/articles/10.3389/fdata.2024.1371680</w:t>
      </w:r>
    </w:p>
    <w:p>
      <w:pPr>
        <w:pStyle w:val="BodyText"/>
      </w:pPr>
      <w:r>
        <w:t xml:space="preserve">[A46] Hendrix, G. G., Sacerdoti, E. D., Sagalowicz, D., &amp; Slocum, J. (1978). Developing a natural language interface to complex data.</w:t>
      </w:r>
      <w:r>
        <w:t xml:space="preserve"> </w:t>
      </w:r>
      <w:r>
        <w:rPr>
          <w:i/>
          <w:iCs/>
        </w:rPr>
        <w:t xml:space="preserve">ACM Transactions on Database Systems</w:t>
      </w:r>
      <w:r>
        <w:t xml:space="preserve">, 3(2), 105-147. DOI: 10.1145/320251.320253. https://dl.acm.org/doi/abs/10.1145/320251.320253</w:t>
      </w:r>
    </w:p>
    <w:p>
      <w:pPr>
        <w:pStyle w:val="BodyText"/>
      </w:pPr>
      <w:r>
        <w:t xml:space="preserve">[A47] Ogunwole, O., &amp; Onukwulu, E. C. (2023). Modernizing legacy systems: A scalable approach to next-generation data architectures and seamless integration.</w:t>
      </w:r>
      <w:r>
        <w:t xml:space="preserve"> </w:t>
      </w:r>
      <w:r>
        <w:rPr>
          <w:i/>
          <w:iCs/>
        </w:rPr>
        <w:t xml:space="preserve">International Journal of Multidisciplinary Research</w:t>
      </w:r>
      <w:r>
        <w:t xml:space="preserve">. https://www.allmultidisciplinaryjournal.com/uploads/archives/20250306182550_MGE-2025-2-018.1.pdf</w:t>
      </w:r>
    </w:p>
    <w:p>
      <w:pPr>
        <w:pStyle w:val="BodyText"/>
      </w:pPr>
      <w:r>
        <w:t xml:space="preserve">[A48] Arora, A. (2025). Challenges of Integrating Artificial Intelligence in Legacy Systems and Potential Solutions for Seamless Integration.</w:t>
      </w:r>
      <w:r>
        <w:t xml:space="preserve"> </w:t>
      </w:r>
      <w:r>
        <w:rPr>
          <w:i/>
          <w:iCs/>
        </w:rPr>
        <w:t xml:space="preserve">SSRN</w:t>
      </w:r>
      <w:r>
        <w:t xml:space="preserve">, 5268176. https://papers.ssrn.com/sol3/papers.cfm?abstract_id=5268176</w:t>
      </w:r>
    </w:p>
    <w:p>
      <w:pPr>
        <w:pStyle w:val="BodyText"/>
      </w:pPr>
      <w:r>
        <w:t xml:space="preserve">[A49] Khandelwal, A. P. (2025). AI-Driven Mainframe Modernization: Unlocking Legacy Data for Cloud Analytics.</w:t>
      </w:r>
      <w:r>
        <w:t xml:space="preserve"> </w:t>
      </w:r>
      <w:r>
        <w:rPr>
          <w:i/>
          <w:iCs/>
        </w:rPr>
        <w:t xml:space="preserve">Journal of Engineering and Computer Sciences</w:t>
      </w:r>
      <w:r>
        <w:t xml:space="preserve">. https://sarcouncil.com/2025/06/ai-driven-mainframe-modernization-unlocking-legacy-data-for-cloud-analytics</w:t>
      </w:r>
    </w:p>
    <w:p>
      <w:pPr>
        <w:pStyle w:val="BodyText"/>
      </w:pPr>
      <w:r>
        <w:t xml:space="preserve">[A50] Goffin, K., &amp; Koners, U. (2011). Tacit knowledge, lessons learnt, and new product development.</w:t>
      </w:r>
      <w:r>
        <w:t xml:space="preserve"> </w:t>
      </w:r>
      <w:r>
        <w:rPr>
          <w:i/>
          <w:iCs/>
        </w:rPr>
        <w:t xml:space="preserve">Journal of Product Innovation Management</w:t>
      </w:r>
      <w:r>
        <w:t xml:space="preserve">, 28(2), 300-318. DOI: 10.1111/j.1540-5885.2010.00798.x. https://onlinelibrary.wiley.com/doi/abs/10.1111/j.1540-5885.2010.00798.x</w:t>
      </w:r>
    </w:p>
    <w:p>
      <w:pPr>
        <w:pStyle w:val="BodyText"/>
      </w:pPr>
      <w:r>
        <w:t xml:space="preserve">[A51] Foos, T., Schum, G., &amp; Rothenberg, S. (2006). Tacit knowledge transfer and the knowledge disconnect.</w:t>
      </w:r>
      <w:r>
        <w:t xml:space="preserve"> </w:t>
      </w:r>
      <w:r>
        <w:rPr>
          <w:i/>
          <w:iCs/>
        </w:rPr>
        <w:t xml:space="preserve">Journal of Knowledge Management</w:t>
      </w:r>
      <w:r>
        <w:t xml:space="preserve">, 10(1), 6-18. DOI: 10.1108/13673270610650067. https://www.emerald.com/insight/content/doi/10.1108/13673270610650067/full/html</w:t>
      </w:r>
    </w:p>
    <w:p>
      <w:pPr>
        <w:pStyle w:val="BodyText"/>
      </w:pPr>
      <w:r>
        <w:t xml:space="preserve">[A52] Goffin, K., Koners, U., Baxter, D., &amp; Van der Hoven, C. (2010). Managing lessons learned and tacit knowledge in new product development.</w:t>
      </w:r>
      <w:r>
        <w:t xml:space="preserve"> </w:t>
      </w:r>
      <w:r>
        <w:rPr>
          <w:i/>
          <w:iCs/>
        </w:rPr>
        <w:t xml:space="preserve">Research-Technology Management</w:t>
      </w:r>
      <w:r>
        <w:t xml:space="preserve">, 53(4), 39-51. DOI: 10.1080/08956308.2010.11657637. https://www.tandfonline.com/doi/abs/10.1080/08956308.2010.11657637</w:t>
      </w:r>
    </w:p>
    <w:p>
      <w:pPr>
        <w:pStyle w:val="BodyText"/>
      </w:pPr>
      <w:r>
        <w:t xml:space="preserve">[A53] Rintala, N., &amp; Hyttinen, L. (2006). Methods for sharing tacit nuclear knowledge and expertise.</w:t>
      </w:r>
      <w:r>
        <w:t xml:space="preserve"> </w:t>
      </w:r>
      <w:r>
        <w:rPr>
          <w:i/>
          <w:iCs/>
        </w:rPr>
        <w:t xml:space="preserve">International Journal of Nuclear Knowledge Management</w:t>
      </w:r>
      <w:r>
        <w:t xml:space="preserve">, 2(2), 157-168. DOI: 10.1504/IJNKM.2006.009880. https://www.inderscienceonline.com/doi/abs/10.1504/IJNKM.2006.009880</w:t>
      </w:r>
    </w:p>
    <w:p>
      <w:pPr>
        <w:pStyle w:val="BodyText"/>
      </w:pPr>
      <w:r>
        <w:t xml:space="preserve">[A54] Snowdon, A., Hussein, A., Danforth, M., &amp; Wright, A. (2024). Digital maturity as a predictor of quality and safety outcomes in US hospitals: Cross-sectional observational study.</w:t>
      </w:r>
      <w:r>
        <w:t xml:space="preserve"> </w:t>
      </w:r>
      <w:r>
        <w:rPr>
          <w:i/>
          <w:iCs/>
        </w:rPr>
        <w:t xml:space="preserve">Journal of Medical Internet Research</w:t>
      </w:r>
      <w:r>
        <w:t xml:space="preserve">, 26, e52224. DOI: 10.2196/52224. https://www.jmir.org/2024/1/e52224</w:t>
      </w:r>
    </w:p>
    <w:p>
      <w:pPr>
        <w:pStyle w:val="BodyText"/>
      </w:pPr>
      <w:r>
        <w:t xml:space="preserve">[A55] Snowdon, A., Hussein, A., &amp; Olubisi, A. (2024). Digital maturity as a strategy for advancing patient experience in US hospitals.</w:t>
      </w:r>
      <w:r>
        <w:t xml:space="preserve"> </w:t>
      </w:r>
      <w:r>
        <w:rPr>
          <w:i/>
          <w:iCs/>
        </w:rPr>
        <w:t xml:space="preserve">Journal of Patient Experience</w:t>
      </w:r>
      <w:r>
        <w:t xml:space="preserve">, 11, 1-8. DOI: 10.1177/23743735241253785. https://journals.sagepub.com/doi/full/10.1177/23743735241253785</w:t>
      </w:r>
    </w:p>
    <w:p>
      <w:pPr>
        <w:pStyle w:val="BodyText"/>
      </w:pPr>
      <w:r>
        <w:t xml:space="preserve">[A56] Wang, Y., Kung, L. A., Gupta, S., &amp; Ozdemir, S. (2019). Leveraging big data analytics to improve quality of care in healthcare organizations: A configurational perspective.</w:t>
      </w:r>
      <w:r>
        <w:t xml:space="preserve"> </w:t>
      </w:r>
      <w:r>
        <w:rPr>
          <w:i/>
          <w:iCs/>
        </w:rPr>
        <w:t xml:space="preserve">British Journal of Management</w:t>
      </w:r>
      <w:r>
        <w:t xml:space="preserve">, 30(2), 362-388. DOI: 10.1111/1467-8551.12332. https://onlinelibrary.wiley.com/doi/abs/10.1111/1467-8551.12332</w:t>
      </w:r>
    </w:p>
    <w:p>
      <w:pPr>
        <w:pStyle w:val="BodyText"/>
      </w:pPr>
      <w:r>
        <w:t xml:space="preserve">[A57] Gomes, J., &amp; Romão, M. (2025). Evaluating maturity models in healthcare information systems: A comprehensive review.</w:t>
      </w:r>
      <w:r>
        <w:t xml:space="preserve"> </w:t>
      </w:r>
      <w:r>
        <w:rPr>
          <w:i/>
          <w:iCs/>
        </w:rPr>
        <w:t xml:space="preserve">Healthcare</w:t>
      </w:r>
      <w:r>
        <w:t xml:space="preserve">, 13(1), 1-20. DOI: 10.3390/healthcare13010001. https://www.mdpi.com/2227-9032/13/1/1</w:t>
      </w:r>
    </w:p>
    <w:p>
      <w:pPr>
        <w:pStyle w:val="BodyText"/>
      </w:pPr>
      <w:r>
        <w:t xml:space="preserve">[A58] Rangachari, P., &amp; Woods, J. L. (2020). Preserving organizational resilience, patient safety, and staff retention during COVID-19 requires a holistic consideration of the psychological safety of healthcare workers.</w:t>
      </w:r>
      <w:r>
        <w:t xml:space="preserve"> </w:t>
      </w:r>
      <w:r>
        <w:rPr>
          <w:i/>
          <w:iCs/>
        </w:rPr>
        <w:t xml:space="preserve">International Journal of Environmental Research and Public Health</w:t>
      </w:r>
      <w:r>
        <w:t xml:space="preserve">, 17(12), 4267. DOI: 10.3390/ijerph17124267. https://www.mdpi.com/1660-4601/17/12/4267</w:t>
      </w:r>
    </w:p>
    <w:p>
      <w:pPr>
        <w:pStyle w:val="BodyText"/>
      </w:pPr>
      <w:r>
        <w:t xml:space="preserve">[A59] Bae, S. H., Mark, B., &amp; Fried, B. (2010). Impact of nursing unit turnover on patient outcomes in hospitals.</w:t>
      </w:r>
      <w:r>
        <w:t xml:space="preserve"> </w:t>
      </w:r>
      <w:r>
        <w:rPr>
          <w:i/>
          <w:iCs/>
        </w:rPr>
        <w:t xml:space="preserve">Journal of Nursing Scholarship</w:t>
      </w:r>
      <w:r>
        <w:t xml:space="preserve">, 42(1), 40-49. DOI: 10.1111/j.1547-5069.2009.01319.x. https://onlinelibrary.wiley.com/doi/abs/10.1111/j.1547-5069.2009.01319.x</w:t>
      </w:r>
    </w:p>
    <w:p>
      <w:pPr>
        <w:pStyle w:val="BodyText"/>
      </w:pPr>
      <w:r>
        <w:t xml:space="preserve">[A60] Wakerman, J., Humphreys, J., Russell, D., Guthridge, S., Bourke, L., Dunbar, T., Zhao, Y., Ramjan, M., Murakami-Gold, L., &amp; Jones, M. P. (2019). Remote health workforce turnover and retention: What are the policy and practice priorities?</w:t>
      </w:r>
      <w:r>
        <w:t xml:space="preserve"> </w:t>
      </w:r>
      <w:r>
        <w:rPr>
          <w:i/>
          <w:iCs/>
        </w:rPr>
        <w:t xml:space="preserve">Human Resources for Health</w:t>
      </w:r>
      <w:r>
        <w:t xml:space="preserve">, 17, 99. DOI: 10.1186/s12960-019-0432-y. https://human-resources-health.biomedcentral.com/articles/10.1186/s12960-019-0432-y</w:t>
      </w:r>
    </w:p>
    <w:p>
      <w:pPr>
        <w:pStyle w:val="BodyText"/>
      </w:pPr>
      <w:r>
        <w:t xml:space="preserve">[A61] Lahaie, D. (2005). The impact of corporate memory loss: What happens when a senior executive leaves?</w:t>
      </w:r>
      <w:r>
        <w:t xml:space="preserve"> </w:t>
      </w:r>
      <w:r>
        <w:rPr>
          <w:i/>
          <w:iCs/>
        </w:rPr>
        <w:t xml:space="preserve">Leadership in Health Services</w:t>
      </w:r>
      <w:r>
        <w:t xml:space="preserve">, 18(3), 35-48. DOI: 10.1108/13660750510611198. https://www.emerald.com/insight/content/doi/10.1108/13660750510611198/full/html</w:t>
      </w:r>
    </w:p>
    <w:p>
      <w:pPr>
        <w:pStyle w:val="BodyText"/>
      </w:pPr>
      <w:r>
        <w:t xml:space="preserve">[A62] Shen, K., McGarry, B. E., &amp; Gandhi, A. D. (2023). Health care staff turnover and quality of care at nursing homes.</w:t>
      </w:r>
      <w:r>
        <w:t xml:space="preserve"> </w:t>
      </w:r>
      <w:r>
        <w:rPr>
          <w:i/>
          <w:iCs/>
        </w:rPr>
        <w:t xml:space="preserve">JAMA Internal Medicine</w:t>
      </w:r>
      <w:r>
        <w:t xml:space="preserve">, 183(9), 985-993. DOI: 10.1001/jamainternmed.2023.3140. https://jamanetwork.com/journals/jamainternalmedicine/fullarticle/2807501</w:t>
      </w:r>
    </w:p>
    <w:p>
      <w:pPr>
        <w:pStyle w:val="BodyText"/>
      </w:pPr>
      <w:r>
        <w:t xml:space="preserve">[A63] Lin, C., Lin, I. C., &amp; Roan, J. (2012). Barriers to physicians’ adoption of healthcare information technology: An empirical study on multiple hospitals.</w:t>
      </w:r>
      <w:r>
        <w:t xml:space="preserve"> </w:t>
      </w:r>
      <w:r>
        <w:rPr>
          <w:i/>
          <w:iCs/>
        </w:rPr>
        <w:t xml:space="preserve">Journal of Medical Systems</w:t>
      </w:r>
      <w:r>
        <w:t xml:space="preserve">, 36(3), 1965-1977. DOI: 10.1007/s10916-011-9656-7. https://link.springer.com/article/10.1007/s10916-011-9656-7</w:t>
      </w:r>
    </w:p>
    <w:p>
      <w:pPr>
        <w:pStyle w:val="BodyText"/>
      </w:pPr>
      <w:r>
        <w:t xml:space="preserve">[A64] Latrella, M., &amp; Baldasare, L. (2024). Improving patient outcomes while reducing readmissions with data analytics.</w:t>
      </w:r>
      <w:r>
        <w:t xml:space="preserve"> </w:t>
      </w:r>
      <w:r>
        <w:rPr>
          <w:i/>
          <w:iCs/>
        </w:rPr>
        <w:t xml:space="preserve">Management in Healthcare</w:t>
      </w:r>
      <w:r>
        <w:t xml:space="preserve">, 8(4), 368-378. DOI: 10.69554/QHSO5671. https://www.ingentaconnect.com/content/hsp/mih/2024/00000008/00000004/art00006</w:t>
      </w:r>
    </w:p>
    <w:p>
      <w:pPr>
        <w:pStyle w:val="BodyText"/>
      </w:pPr>
      <w:r>
        <w:t xml:space="preserve">[A65] Khan, S., Sakib, M., &amp; Iqbal, M. (2023). Advanced business analytics in healthcare: Enhancing clinical decision support and operational efficiency.</w:t>
      </w:r>
      <w:r>
        <w:t xml:space="preserve"> </w:t>
      </w:r>
      <w:r>
        <w:rPr>
          <w:i/>
          <w:iCs/>
        </w:rPr>
        <w:t xml:space="preserve">Business and Economics</w:t>
      </w:r>
      <w:r>
        <w:t xml:space="preserve">, 4(2), 1-15. https://publishing.emanresearch.org/index.php/bej/article/view/1136</w:t>
      </w:r>
    </w:p>
    <w:p>
      <w:pPr>
        <w:pStyle w:val="BodyText"/>
      </w:pPr>
      <w:r>
        <w:t xml:space="preserve">[A66] Rajamani, S., Leider, J. P., &amp; Gunashekar, D. R. (2025). Public health informatics specialists in state and local public health workforce: Insights from public health workforce interests and needs survey.</w:t>
      </w:r>
      <w:r>
        <w:t xml:space="preserve"> </w:t>
      </w:r>
      <w:r>
        <w:rPr>
          <w:i/>
          <w:iCs/>
        </w:rPr>
        <w:t xml:space="preserve">Journal of Public Health Management and Practice</w:t>
      </w:r>
      <w:r>
        <w:t xml:space="preserve">. DOI: 10.1097/PHH.0000000000001234. https://academic.oup.com/jpubhealth</w:t>
      </w:r>
    </w:p>
    <w:p>
      <w:pPr>
        <w:pStyle w:val="BodyText"/>
      </w:pPr>
      <w:r>
        <w:t xml:space="preserve">[A67] Willard-Grace, R., Knox, M., Huang, B., et al. (2019). Burnout and health care workforce turnover.</w:t>
      </w:r>
      <w:r>
        <w:t xml:space="preserve"> </w:t>
      </w:r>
      <w:r>
        <w:rPr>
          <w:i/>
          <w:iCs/>
        </w:rPr>
        <w:t xml:space="preserve">The Annals of Family Medicine</w:t>
      </w:r>
      <w:r>
        <w:t xml:space="preserve">, 17(1), 36-41. DOI: 10.1370/afm.2338. https://www.annfammed.org/content/17/1/36</w:t>
      </w:r>
    </w:p>
    <w:p>
      <w:pPr>
        <w:pStyle w:val="BodyText"/>
      </w:pPr>
      <w:r>
        <w:t xml:space="preserve">[A68] Melnick, E. R., Fong, A., Nath, B., Williams, B., et al. (2021). Analysis of electronic health record use and clinical productivity and their association with physician turnover.</w:t>
      </w:r>
      <w:r>
        <w:t xml:space="preserve"> </w:t>
      </w:r>
      <w:r>
        <w:rPr>
          <w:i/>
          <w:iCs/>
        </w:rPr>
        <w:t xml:space="preserve">JAMA Network Open</w:t>
      </w:r>
      <w:r>
        <w:t xml:space="preserve">, 4(10), e2128790. DOI: 10.1001/jamanetworkopen.2021.28790. https://jamanetwork.com/journals/jamanetworkopen/fullarticle/2784810</w:t>
      </w:r>
    </w:p>
    <w:bookmarkEnd w:id="104"/>
    <w:bookmarkStart w:id="105"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5"/>
    <w:bookmarkEnd w:id="106"/>
    <w:bookmarkStart w:id="113" w:name="appendices"/>
    <w:p>
      <w:pPr>
        <w:pStyle w:val="Heading1"/>
      </w:pPr>
      <w:r>
        <w:rPr>
          <w:rStyle w:val="SectionNumber"/>
        </w:rPr>
        <w:t xml:space="preserve">14</w:t>
      </w:r>
      <w:r>
        <w:tab/>
      </w:r>
      <w:r>
        <w:t xml:space="preserve">Appendices</w:t>
      </w:r>
    </w:p>
    <w:bookmarkStart w:id="107"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7"/>
    <w:bookmarkStart w:id="108"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8"/>
    <w:bookmarkStart w:id="112" w:name="Xbfd30549e6247e2f3e5132a039875af0e2849bb"/>
    <w:p>
      <w:pPr>
        <w:pStyle w:val="Heading2"/>
      </w:pPr>
      <w:r>
        <w:rPr>
          <w:rStyle w:val="SectionNumber"/>
        </w:rPr>
        <w:t xml:space="preserve">14.3</w:t>
      </w:r>
      <w:r>
        <w:tab/>
      </w:r>
      <w:r>
        <w:t xml:space="preserve">Appendix C: Healthcare NL2SQL Query Examples</w:t>
      </w:r>
    </w:p>
    <w:bookmarkStart w:id="109"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9"/>
    <w:bookmarkStart w:id="110"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0"/>
    <w:bookmarkStart w:id="111"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1"/>
    <w:bookmarkEnd w:id="112"/>
    <w:bookmarkEnd w:id="11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2025-12-22T16:07:45Z</dcterms:created>
  <dcterms:modified xsi:type="dcterms:W3CDTF">2025-12-22T16:07:45Z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samuel.harrold@yuimedi.com</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