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w:t>
      </w:r>
      <w:r>
        <w:t xml:space="preserve"> </w:t>
      </w:r>
      <w:r>
        <w:t xml:space="preserve">Language</w:t>
      </w:r>
      <w:r>
        <w:t xml:space="preserve"> </w:t>
      </w:r>
      <w:r>
        <w:t xml:space="preserve">to</w:t>
      </w:r>
      <w:r>
        <w:t xml:space="preserve"> </w:t>
      </w:r>
      <w:r>
        <w:t xml:space="preserve">SQL</w:t>
      </w:r>
      <w:r>
        <w:t xml:space="preserve"> </w:t>
      </w:r>
      <w:r>
        <w:t xml:space="preserve">in</w:t>
      </w:r>
      <w:r>
        <w:t xml:space="preserve"> </w:t>
      </w:r>
      <w:r>
        <w:t xml:space="preserve">Healthcare:</w:t>
      </w:r>
      <w:r>
        <w:t xml:space="preserve"> </w:t>
      </w:r>
      <w:r>
        <w:t xml:space="preserve">Bridging</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Through</w:t>
      </w:r>
      <w:r>
        <w:t xml:space="preserve"> </w:t>
      </w:r>
      <w:r>
        <w:t xml:space="preserve">Conversational</w:t>
      </w:r>
      <w:r>
        <w:t xml:space="preserve"> </w:t>
      </w:r>
      <w:r>
        <w:t xml:space="preserve">AI</w:t>
      </w:r>
      <w:r>
        <w:t xml:space="preserve"> </w:t>
      </w:r>
      <w:r>
        <w:t xml:space="preserve">Platforms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t xml:space="preserve">This</w:t>
      </w:r>
      <w:r>
        <w:t xml:space="preserve"> </w:t>
      </w:r>
      <w:r>
        <w:t xml:space="preserve">research</w:t>
      </w:r>
      <w:r>
        <w:t xml:space="preserve"> </w:t>
      </w:r>
      <w:r>
        <w:t xml:space="preserve">examines</w:t>
      </w:r>
      <w:r>
        <w:t xml:space="preserve"> </w:t>
      </w:r>
      <w:r>
        <w:t xml:space="preserve">the</w:t>
      </w:r>
      <w:r>
        <w:t xml:space="preserve"> </w:t>
      </w:r>
      <w:r>
        <w:t xml:space="preserve">evidence</w:t>
      </w:r>
      <w:r>
        <w:t xml:space="preserve"> </w:t>
      </w:r>
      <w:r>
        <w:t xml:space="preserve">for</w:t>
      </w:r>
      <w:r>
        <w:t xml:space="preserve"> </w:t>
      </w:r>
      <w:r>
        <w:t xml:space="preserve">implementing</w:t>
      </w:r>
      <w:r>
        <w:t xml:space="preserve"> </w:t>
      </w:r>
      <w:r>
        <w:t xml:space="preserve">conversational</w:t>
      </w:r>
      <w:r>
        <w:t xml:space="preserve"> </w:t>
      </w:r>
      <w:r>
        <w:t xml:space="preserve">AI</w:t>
      </w:r>
      <w:r>
        <w:t xml:space="preserve"> </w:t>
      </w:r>
      <w:r>
        <w:t xml:space="preserve">platforms</w:t>
      </w:r>
      <w:r>
        <w:t xml:space="preserve"> </w:t>
      </w:r>
      <w:r>
        <w:t xml:space="preserve">in</w:t>
      </w:r>
      <w:r>
        <w:t xml:space="preserve"> </w:t>
      </w:r>
      <w:r>
        <w:t xml:space="preserve">healthcare</w:t>
      </w:r>
      <w:r>
        <w:t xml:space="preserve"> </w:t>
      </w:r>
      <w:r>
        <w:t xml:space="preserve">analytics,</w:t>
      </w:r>
      <w:r>
        <w:t xml:space="preserve"> </w:t>
      </w:r>
      <w:r>
        <w:t xml:space="preserve">addressing</w:t>
      </w:r>
      <w:r>
        <w:t xml:space="preserve"> </w:t>
      </w:r>
      <w:r>
        <w:t xml:space="preserve">three</w:t>
      </w:r>
      <w:r>
        <w:t xml:space="preserve"> </w:t>
      </w:r>
      <w:r>
        <w:t xml:space="preserve">critical</w:t>
      </w:r>
      <w:r>
        <w:t xml:space="preserve"> </w:t>
      </w:r>
      <w:r>
        <w:t xml:space="preserve">challenges:</w:t>
      </w:r>
      <w:r>
        <w:t xml:space="preserve"> </w:t>
      </w:r>
      <w:r>
        <w:t xml:space="preserve">low</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with</w:t>
      </w:r>
      <w:r>
        <w:t xml:space="preserve"> </w:t>
      </w:r>
      <w:r>
        <w:t xml:space="preserve">institutional</w:t>
      </w:r>
      <w:r>
        <w:t xml:space="preserve"> </w:t>
      </w:r>
      <w:r>
        <w:t xml:space="preserve">memory</w:t>
      </w:r>
      <w:r>
        <w:t xml:space="preserve"> </w:t>
      </w:r>
      <w:r>
        <w:t xml:space="preserve">loss,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Through</w:t>
      </w:r>
      <w:r>
        <w:t xml:space="preserve"> </w:t>
      </w:r>
      <w:r>
        <w:t xml:space="preserve">review</w:t>
      </w:r>
      <w:r>
        <w:t xml:space="preserve"> </w:t>
      </w:r>
      <w:r>
        <w:t xml:space="preserve">of</w:t>
      </w:r>
      <w:r>
        <w:t xml:space="preserve"> </w:t>
      </w:r>
      <w:r>
        <w:t xml:space="preserve">peer-reviewed</w:t>
      </w:r>
      <w:r>
        <w:t xml:space="preserve"> </w:t>
      </w:r>
      <w:r>
        <w:t xml:space="preserve">benchmarking</w:t>
      </w:r>
      <w:r>
        <w:t xml:space="preserve"> </w:t>
      </w:r>
      <w:r>
        <w:t xml:space="preserve">studies</w:t>
      </w:r>
      <w:r>
        <w:t xml:space="preserve"> </w:t>
      </w:r>
      <w:r>
        <w:t xml:space="preserve">and</w:t>
      </w:r>
      <w:r>
        <w:t xml:space="preserve"> </w:t>
      </w:r>
      <w:r>
        <w:t xml:space="preserve">industry</w:t>
      </w:r>
      <w:r>
        <w:t xml:space="preserve"> </w:t>
      </w:r>
      <w:r>
        <w:t xml:space="preserve">implementations,</w:t>
      </w:r>
      <w:r>
        <w:t xml:space="preserve"> </w:t>
      </w:r>
      <w:r>
        <w:t xml:space="preserve">we</w:t>
      </w:r>
      <w:r>
        <w:t xml:space="preserve"> </w:t>
      </w:r>
      <w:r>
        <w:t xml:space="preserve">demonstrate</w:t>
      </w:r>
      <w:r>
        <w:t xml:space="preserve"> </w:t>
      </w:r>
      <w:r>
        <w:t xml:space="preserve">that</w:t>
      </w:r>
      <w:r>
        <w:t xml:space="preserve"> </w:t>
      </w:r>
      <w:r>
        <w:t xml:space="preserve">natural</w:t>
      </w:r>
      <w:r>
        <w:t xml:space="preserve"> </w:t>
      </w:r>
      <w:r>
        <w:t xml:space="preserve">language</w:t>
      </w:r>
      <w:r>
        <w:t xml:space="preserve"> </w:t>
      </w:r>
      <w:r>
        <w:t xml:space="preserve">interfaces</w:t>
      </w:r>
      <w:r>
        <w:t xml:space="preserve"> </w:t>
      </w:r>
      <w:r>
        <w:t xml:space="preserve">can</w:t>
      </w:r>
      <w:r>
        <w:t xml:space="preserve"> </w:t>
      </w:r>
      <w:r>
        <w:t xml:space="preserve">democratize</w:t>
      </w:r>
      <w:r>
        <w:t xml:space="preserve"> </w:t>
      </w:r>
      <w:r>
        <w:t xml:space="preserve">analytics</w:t>
      </w:r>
      <w:r>
        <w:t xml:space="preserve"> </w:t>
      </w:r>
      <w:r>
        <w:t xml:space="preserve">access</w:t>
      </w:r>
      <w:r>
        <w:t xml:space="preserve"> </w:t>
      </w:r>
      <w:r>
        <w:t xml:space="preserve">while</w:t>
      </w:r>
      <w:r>
        <w:t xml:space="preserve"> </w:t>
      </w:r>
      <w:r>
        <w:t xml:space="preserve">preserving</w:t>
      </w:r>
      <w:r>
        <w:t xml:space="preserve"> </w:t>
      </w:r>
      <w:r>
        <w:t xml:space="preserve">institutional</w:t>
      </w:r>
      <w:r>
        <w:t xml:space="preserve"> </w:t>
      </w:r>
      <w:r>
        <w:t xml:space="preserve">knowledge.</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Healthcare</w:t>
      </w:r>
      <w:r>
        <w:t xml:space="preserve"> </w:t>
      </w:r>
      <w:r>
        <w:t xml:space="preserve">IT</w:t>
      </w:r>
      <w:r>
        <w:t xml:space="preserve"> </w:t>
      </w:r>
      <w:r>
        <w:t xml:space="preserve">staff</w:t>
      </w:r>
      <w:r>
        <w:t xml:space="preserve"> </w:t>
      </w:r>
      <w:r>
        <w:t xml:space="preserve">turnover</w:t>
      </w:r>
      <w:r>
        <w:t xml:space="preserve"> </w:t>
      </w:r>
      <w:r>
        <w:t xml:space="preserve">of</w:t>
      </w:r>
      <w:r>
        <w:t xml:space="preserve"> </w:t>
      </w:r>
      <w:r>
        <w:t xml:space="preserve">~34%</w:t>
      </w:r>
      <w:r>
        <w:t xml:space="preserve"> </w:t>
      </w:r>
      <w:r>
        <w:t xml:space="preserve">(as</w:t>
      </w:r>
      <w:r>
        <w:t xml:space="preserve"> </w:t>
      </w:r>
      <w:r>
        <w:t xml:space="preserve">of</w:t>
      </w:r>
      <w:r>
        <w:t xml:space="preserve"> </w:t>
      </w:r>
      <w:r>
        <w:t xml:space="preserve">2004)—the</w:t>
      </w:r>
      <w:r>
        <w:t xml:space="preserve"> </w:t>
      </w:r>
      <w:r>
        <w:t xml:space="preserve">highest</w:t>
      </w:r>
      <w:r>
        <w:t xml:space="preserve"> </w:t>
      </w:r>
      <w:r>
        <w:t xml:space="preserve">among</w:t>
      </w:r>
      <w:r>
        <w:t xml:space="preserve"> </w:t>
      </w:r>
      <w:r>
        <w:t xml:space="preserve">IT</w:t>
      </w:r>
      <w:r>
        <w:t xml:space="preserve"> </w:t>
      </w:r>
      <w:r>
        <w:t xml:space="preserve">sectors</w:t>
      </w:r>
      <w:r>
        <w:t xml:space="preserve"> </w:t>
      </w:r>
      <w:r>
        <w:t xml:space="preserve">at</w:t>
      </w:r>
      <w:r>
        <w:t xml:space="preserve"> </w:t>
      </w:r>
      <w:r>
        <w:t xml:space="preserve">that</w:t>
      </w:r>
      <w:r>
        <w:t xml:space="preserve"> </w:t>
      </w:r>
      <w:r>
        <w:t xml:space="preserve">time—creates</w:t>
      </w:r>
      <w:r>
        <w:t xml:space="preserve"> </w:t>
      </w:r>
      <w:r>
        <w:t xml:space="preserve">institutional</w:t>
      </w:r>
      <w:r>
        <w:t xml:space="preserve"> </w:t>
      </w:r>
      <w:r>
        <w:t xml:space="preserve">memory</w:t>
      </w:r>
      <w:r>
        <w:t xml:space="preserve"> </w:t>
      </w:r>
      <w:r>
        <w:t xml:space="preserve">loss,</w:t>
      </w:r>
      <w:r>
        <w:t xml:space="preserve"> </w:t>
      </w:r>
      <w:r>
        <w:t xml:space="preserve">while</w:t>
      </w:r>
      <w:r>
        <w:t xml:space="preserve"> </w:t>
      </w:r>
      <w:r>
        <w:t xml:space="preserve">low-code</w:t>
      </w:r>
      <w:r>
        <w:t xml:space="preserve"> </w:t>
      </w:r>
      <w:r>
        <w:t xml:space="preserve">implementations</w:t>
      </w:r>
      <w:r>
        <w:t xml:space="preserve"> </w:t>
      </w:r>
      <w:r>
        <w:t xml:space="preserve">demonstrate</w:t>
      </w:r>
      <w:r>
        <w:t xml:space="preserve"> </w:t>
      </w:r>
      <w:r>
        <w:t xml:space="preserve">significant</w:t>
      </w:r>
      <w:r>
        <w:t xml:space="preserve"> </w:t>
      </w:r>
      <w:r>
        <w:t xml:space="preserve">efficiency</w:t>
      </w:r>
      <w:r>
        <w:t xml:space="preserve"> </w:t>
      </w:r>
      <w:r>
        <w:t xml:space="preserve">gains</w:t>
      </w:r>
      <w:r>
        <w:t xml:space="preserve"> </w:t>
      </w:r>
      <w:r>
        <w:t xml:space="preserve">and</w:t>
      </w:r>
      <w:r>
        <w:t xml:space="preserve"> </w:t>
      </w:r>
      <w:r>
        <w:t xml:space="preserve">cost</w:t>
      </w:r>
      <w:r>
        <w:t xml:space="preserve"> </w:t>
      </w:r>
      <w:r>
        <w:t xml:space="preserve">savings.</w:t>
      </w:r>
      <w:r>
        <w:t xml:space="preserve"> </w:t>
      </w:r>
      <w:r>
        <w:t xml:space="preserve">The</w:t>
      </w:r>
      <w:r>
        <w:t xml:space="preserve"> </w:t>
      </w:r>
      <w:r>
        <w:t xml:space="preserve">convergence</w:t>
      </w:r>
      <w:r>
        <w:t xml:space="preserve"> </w:t>
      </w:r>
      <w:r>
        <w:t xml:space="preserve">of</w:t>
      </w:r>
      <w:r>
        <w:t xml:space="preserve"> </w:t>
      </w:r>
      <w:r>
        <w:t xml:space="preserve">technical</w:t>
      </w:r>
      <w:r>
        <w:t xml:space="preserve"> </w:t>
      </w:r>
      <w:r>
        <w:t xml:space="preserve">advances</w:t>
      </w:r>
      <w:r>
        <w:t xml:space="preserve"> </w:t>
      </w:r>
      <w:r>
        <w:t xml:space="preserve">in</w:t>
      </w:r>
      <w:r>
        <w:t xml:space="preserve"> </w:t>
      </w:r>
      <w:r>
        <w:t xml:space="preserve">NL2SQL</w:t>
      </w:r>
      <w:r>
        <w:t xml:space="preserve"> </w:t>
      </w:r>
      <w:r>
        <w:t xml:space="preserve">generation,</w:t>
      </w:r>
      <w:r>
        <w:t xml:space="preserve"> </w:t>
      </w:r>
      <w:r>
        <w:t xml:space="preserve">analytics</w:t>
      </w:r>
      <w:r>
        <w:t xml:space="preserve"> </w:t>
      </w:r>
      <w:r>
        <w:t xml:space="preserve">maturity</w:t>
      </w:r>
      <w:r>
        <w:t xml:space="preserve"> </w:t>
      </w:r>
      <w:r>
        <w:t xml:space="preserve">challenges</w:t>
      </w:r>
      <w:r>
        <w:t xml:space="preserve"> </w:t>
      </w:r>
      <w:r>
        <w:t xml:space="preserve">in</w:t>
      </w:r>
      <w:r>
        <w:t xml:space="preserve"> </w:t>
      </w:r>
      <w:r>
        <w:t xml:space="preserve">healthcare</w:t>
      </w:r>
      <w:r>
        <w:t xml:space="preserve"> </w:t>
      </w:r>
      <w:r>
        <w:t xml:space="preserve">organizations,</w:t>
      </w:r>
      <w:r>
        <w:t xml:space="preserve"> </w:t>
      </w:r>
      <w:r>
        <w:t xml:space="preserve">and</w:t>
      </w:r>
      <w:r>
        <w:t xml:space="preserve"> </w:t>
      </w:r>
      <w:r>
        <w:t xml:space="preserve">workforce</w:t>
      </w:r>
      <w:r>
        <w:t xml:space="preserve"> </w:t>
      </w:r>
      <w:r>
        <w:t xml:space="preserve">turnover</w:t>
      </w:r>
      <w:r>
        <w:t xml:space="preserve"> </w:t>
      </w:r>
      <w:r>
        <w:t xml:space="preserve">creates</w:t>
      </w:r>
      <w:r>
        <w:t xml:space="preserve"> </w:t>
      </w:r>
      <w:r>
        <w:t xml:space="preserve">conditions</w:t>
      </w:r>
      <w:r>
        <w:t xml:space="preserve"> </w:t>
      </w:r>
      <w:r>
        <w:t xml:space="preserve">warranting</w:t>
      </w:r>
      <w:r>
        <w:t xml:space="preserve"> </w:t>
      </w:r>
      <w:r>
        <w:t xml:space="preserve">organizational</w:t>
      </w:r>
      <w:r>
        <w:t xml:space="preserve"> </w:t>
      </w:r>
      <w:r>
        <w:t xml:space="preserve">assessment</w:t>
      </w:r>
      <w:r>
        <w:t xml:space="preserve"> </w:t>
      </w:r>
      <w:r>
        <w:t xml:space="preserve">of</w:t>
      </w:r>
      <w:r>
        <w:t xml:space="preserve"> </w:t>
      </w:r>
      <w:r>
        <w:t xml:space="preserve">conversational</w:t>
      </w:r>
      <w:r>
        <w:t xml:space="preserve"> </w:t>
      </w:r>
      <w:r>
        <w:t xml:space="preserve">AI</w:t>
      </w:r>
      <w:r>
        <w:t xml:space="preserve"> </w:t>
      </w:r>
      <w:r>
        <w:t xml:space="preserve">platforms</w:t>
      </w:r>
      <w:r>
        <w:t xml:space="preserve"> </w:t>
      </w:r>
      <w:r>
        <w:t xml:space="preserve">with</w:t>
      </w:r>
      <w:r>
        <w:t xml:space="preserve"> </w:t>
      </w:r>
      <w:r>
        <w:t xml:space="preserve">appropriate</w:t>
      </w:r>
      <w:r>
        <w:t xml:space="preserve"> </w:t>
      </w:r>
      <w:r>
        <w:t xml:space="preserve">governance.</w:t>
      </w:r>
      <w:r>
        <w:t xml:space="preserve"> </w:t>
      </w:r>
      <w:r>
        <w:t xml:space="preserve">This</w:t>
      </w:r>
      <w:r>
        <w:t xml:space="preserve"> </w:t>
      </w:r>
      <w:r>
        <w:t xml:space="preserve">paper</w:t>
      </w:r>
      <w:r>
        <w:t xml:space="preserve"> </w:t>
      </w:r>
      <w:r>
        <w:t xml:space="preserve">contributes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and</w:t>
      </w:r>
      <w:r>
        <w:t xml:space="preserve"> </w:t>
      </w:r>
      <w:r>
        <w:t xml:space="preserve">positions</w:t>
      </w:r>
      <w:r>
        <w:t xml:space="preserve"> </w:t>
      </w:r>
      <w:r>
        <w:t xml:space="preserve">healthcare</w:t>
      </w:r>
      <w:r>
        <w:t xml:space="preserve"> </w:t>
      </w:r>
      <w:r>
        <w:t xml:space="preserve">conversational</w:t>
      </w:r>
      <w:r>
        <w:t xml:space="preserve"> </w:t>
      </w:r>
      <w:r>
        <w:t xml:space="preserve">AI</w:t>
      </w:r>
      <w:r>
        <w:t xml:space="preserve"> </w:t>
      </w:r>
      <w:r>
        <w:t xml:space="preserve">as</w:t>
      </w:r>
      <w:r>
        <w:t xml:space="preserve"> </w:t>
      </w:r>
      <w:r>
        <w:t xml:space="preserve">a</w:t>
      </w:r>
      <w:r>
        <w:t xml:space="preserve"> </w:t>
      </w:r>
      <w:r>
        <w:t xml:space="preserve">knowledge</w:t>
      </w:r>
      <w:r>
        <w:t xml:space="preserve"> </w:t>
      </w:r>
      <w:r>
        <w:t xml:space="preserve">portal</w:t>
      </w:r>
      <w:r>
        <w:t xml:space="preserve"> </w:t>
      </w:r>
      <w:r>
        <w:t xml:space="preserve">architecture</w:t>
      </w:r>
      <w:r>
        <w:t xml:space="preserve"> </w:t>
      </w:r>
      <w:r>
        <w:t xml:space="preserve">for</w:t>
      </w:r>
      <w:r>
        <w:t xml:space="preserve"> </w:t>
      </w:r>
      <w:r>
        <w:t xml:space="preserve">institutional</w:t>
      </w:r>
      <w:r>
        <w:t xml:space="preserve"> </w:t>
      </w:r>
      <w:r>
        <w:t xml:space="preserve">memory</w:t>
      </w:r>
      <w:r>
        <w:t xml:space="preserve"> </w:t>
      </w:r>
      <w:r>
        <w:t xml:space="preserve">preservation.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executive-summary"/>
    <w:p>
      <w:pPr>
        <w:pStyle w:val="Heading1"/>
      </w:pPr>
      <w:r>
        <w:rPr>
          <w:rStyle w:val="SectionNumber"/>
        </w:rPr>
        <w:t xml:space="preserve">1</w:t>
      </w:r>
      <w:r>
        <w:tab/>
      </w:r>
      <w:r>
        <w:t xml:space="preserve">Executive Summary</w:t>
      </w:r>
    </w:p>
    <w:p>
      <w:pPr>
        <w:pStyle w:val="FirstParagraph"/>
      </w:pPr>
      <w:r>
        <w:t xml:space="preserve">Healthcare organizations face a convergence of challenges that affect their ability to leverage data for improved patient outcomes and operational efficiency. This research examines evidence across three interconnected domains: persistently low healthcare analytics maturity, significant institutional memory loss from workforce turnover, and technical barriers preventing clinical professionals from accessing their own data.</w:t>
      </w:r>
    </w:p>
    <w:p>
      <w:pPr>
        <w:pStyle w:val="BodyText"/>
      </w:pPr>
      <w:r>
        <w:t xml:space="preserve">Through systematic review of academic and industry sources, we demonstrate that few healthcare organizations worldwide have achieved advanced analytics maturity, while healthcare IT staff turnover was measured at 34% (as of 2004) [A10]—the highest among IT sectors at that time—creating institutional memory loss with knowledge loss costs reaching three times annual salary budgets [A24]. Simultaneously, natural language to SQL (NL2SQL) technologies have matured sufficiently to address healthcare’s unique technical barriers, though current models are</w:t>
      </w:r>
      <w:r>
        <w:t xml:space="preserve"> </w:t>
      </w:r>
      <w:r>
        <w:t xml:space="preserve">“</w:t>
      </w:r>
      <w:r>
        <w:t xml:space="preserve">not yet sufficiently accurate for unsupervised use</w:t>
      </w:r>
      <w:r>
        <w:t xml:space="preserve">”</w:t>
      </w:r>
      <w:r>
        <w:t xml:space="preserve"> </w:t>
      </w:r>
      <w:r>
        <w:t xml:space="preserve">in clinical settings [A6].</w:t>
      </w:r>
    </w:p>
    <w:p>
      <w:pPr>
        <w:pStyle w:val="BodyText"/>
      </w:pPr>
      <w:r>
        <w:t xml:space="preserve">Conversational AI platforms directly address this convergence by democratizing analytics access through natural language interfaces while functioning as healthcare knowledge portals [A25] that preserve institutional knowledge through encoded expertise. Evidence from healthcare implementations shows significant improvements in efficiency, with organizations like Berkshire Healthcare NHS Trust reporting over 800 citizen developers creating solutions [I4], and Forrester Research documenting 206% ROI from low-code implementations [I5].</w:t>
      </w:r>
    </w:p>
    <w:p>
      <w:pPr>
        <w:pStyle w:val="BodyText"/>
      </w:pPr>
      <w:r>
        <w:t xml:space="preserve">This review identifies an analytical framework connecting these challenges. The three-pillar model presented herein offers healthcare organizations a structured approach for assessing their analytics capabilities, workforce knowledge vulnerabilities, and technical barriers to data access.</w:t>
      </w:r>
    </w:p>
    <w:bookmarkEnd w:id="20"/>
    <w:bookmarkStart w:id="32" w:name="introduction"/>
    <w:p>
      <w:pPr>
        <w:pStyle w:val="Heading1"/>
      </w:pPr>
      <w:r>
        <w:rPr>
          <w:rStyle w:val="SectionNumber"/>
        </w:rPr>
        <w:t xml:space="preserve">2</w:t>
      </w:r>
      <w:r>
        <w:tab/>
      </w:r>
      <w:r>
        <w:t xml:space="preserve">Introduction</w:t>
      </w:r>
    </w:p>
    <w:bookmarkStart w:id="21" w:name="background"/>
    <w:p>
      <w:pPr>
        <w:pStyle w:val="Heading2"/>
      </w:pPr>
      <w:r>
        <w:rPr>
          <w:rStyle w:val="SectionNumber"/>
        </w:rPr>
        <w:t xml:space="preserve">2.1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mission—or worse, that divert resources and attention without improving care delivery—represent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 [I11].</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 [I1].</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A 2004 study found healthcare IT staff turnover of 34% [A10]—the highest rate among all IT organization types studied at that time—creating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1"/>
    <w:bookmarkStart w:id="25" w:name="problem-statement"/>
    <w:p>
      <w:pPr>
        <w:pStyle w:val="Heading2"/>
      </w:pPr>
      <w:r>
        <w:rPr>
          <w:rStyle w:val="SectionNumber"/>
        </w:rPr>
        <w:t xml:space="preserve">2.2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2" w:name="low-healthcare-analytics-maturity"/>
    <w:p>
      <w:pPr>
        <w:pStyle w:val="Heading3"/>
      </w:pPr>
      <w:r>
        <w:rPr>
          <w:rStyle w:val="SectionNumber"/>
        </w:rPr>
        <w:t xml:space="preserve">2.2.1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 [I1]. This low maturity severely constrains evidence-based decision making and operational optimization.</w:t>
      </w:r>
    </w:p>
    <w:bookmarkEnd w:id="22"/>
    <w:bookmarkStart w:id="23" w:name="technical-barriers-to-data-access"/>
    <w:p>
      <w:pPr>
        <w:pStyle w:val="Heading3"/>
      </w:pPr>
      <w:r>
        <w:rPr>
          <w:rStyle w:val="SectionNumber"/>
        </w:rPr>
        <w:t xml:space="preserve">2.2.2</w:t>
      </w:r>
      <w:r>
        <w:tab/>
      </w:r>
      <w:r>
        <w:t xml:space="preserve">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 capabilities that clinical staff neither possess nor have time to develop. This creates a fundamental disconnect between those who understand the clinical questions and those who can access the data to answer them [A14], [A15], [A16]. Drawing on principles from code modernization, AI-assisted interfaces can bridge this gap by transforming legacy technical requirements into natural language interactions [I8].</w:t>
      </w:r>
    </w:p>
    <w:bookmarkEnd w:id="23"/>
    <w:bookmarkStart w:id="24" w:name="Xbcc4dadd7fefc7631b0e8a8a9c4816ce0327f63"/>
    <w:p>
      <w:pPr>
        <w:pStyle w:val="Heading3"/>
      </w:pPr>
      <w:r>
        <w:rPr>
          <w:rStyle w:val="SectionNumber"/>
        </w:rPr>
        <w:t xml:space="preserve">2.2.3</w:t>
      </w:r>
      <w:r>
        <w:tab/>
      </w:r>
      <w:r>
        <w:t xml:space="preserve">Institutional Memory Loss from Workforce Turnover</w:t>
      </w:r>
    </w:p>
    <w:p>
      <w:pPr>
        <w:pStyle w:val="FirstParagraph"/>
      </w:pPr>
      <w:r>
        <w:t xml:space="preserve">A 2004 study found healthcare IT staff experienced the highest turnover among IT sectors at 34% annually (calculated as 1/2.9 years average tenure), with average tenure of only 2.9 years—the lowest among IT sectors studied at that time [A10]. This creates significant institutional memory loss.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implications are measurable in operational terms and potentially in patient care quality. Organizations continue investing in analytics infrastructure while struggling to realize value from their data assets. Analytics maturity gaps may lead to suboptimal clinical decisions that affect patient outcomes. Workforce turnover causes loss of institutional knowledge relevant to care continuity. Technical barriers prevent clinical staff from answering care-focused questions with data. These three interconnected challenges represent operational inefficiencies with potential implications for healthcare delivery.</w:t>
      </w:r>
    </w:p>
    <w:bookmarkEnd w:id="24"/>
    <w:bookmarkEnd w:id="25"/>
    <w:bookmarkStart w:id="29" w:name="objectives"/>
    <w:p>
      <w:pPr>
        <w:pStyle w:val="Heading2"/>
      </w:pPr>
      <w:r>
        <w:rPr>
          <w:rStyle w:val="SectionNumber"/>
        </w:rPr>
        <w:t xml:space="preserve">2.3</w:t>
      </w:r>
      <w:r>
        <w:tab/>
      </w:r>
      <w:r>
        <w:t xml:space="preserve">Objectives</w:t>
      </w:r>
    </w:p>
    <w:p>
      <w:pPr>
        <w:pStyle w:val="FirstParagraph"/>
      </w:pPr>
      <w:r>
        <w:t xml:space="preserve">This research aims to provide evidence-based guidance for healthcare organizations seeking to address these interconnected challenges through conversational AI platforms. Specific objectives include:</w:t>
      </w:r>
    </w:p>
    <w:bookmarkStart w:id="26" w:name="primary-objective"/>
    <w:p>
      <w:pPr>
        <w:pStyle w:val="Heading3"/>
      </w:pPr>
      <w:r>
        <w:rPr>
          <w:rStyle w:val="SectionNumber"/>
        </w:rPr>
        <w:t xml:space="preserve">2.3.1</w:t>
      </w:r>
      <w:r>
        <w:tab/>
      </w:r>
      <w:r>
        <w:t xml:space="preserve">Primary Objective</w:t>
      </w:r>
    </w:p>
    <w:p>
      <w:pPr>
        <w:pStyle w:val="FirstParagraph"/>
      </w:pPr>
      <w:r>
        <w:t xml:space="preserve">Demonstrate through systematic literature review that conversational AI platforms represent an evidence-based solution to healthcare’s analytics challenges, with empirical validation of their effectiveness in addressing analytics maturity, technical barriers, and institutional memory preservation.</w:t>
      </w:r>
    </w:p>
    <w:bookmarkEnd w:id="26"/>
    <w:bookmarkStart w:id="27" w:name="secondary-objectives"/>
    <w:p>
      <w:pPr>
        <w:pStyle w:val="Heading3"/>
      </w:pPr>
      <w:r>
        <w:rPr>
          <w:rStyle w:val="SectionNumber"/>
        </w:rPr>
        <w:t xml:space="preserve">2.3.2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capabilities and limitations in healthcare contexts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Identify implementation strategies</w:t>
      </w:r>
      <w:r>
        <w:t xml:space="preserve"> </w:t>
      </w:r>
      <w:r>
        <w:t xml:space="preserve">supported by empirical evidence from early adopters</w:t>
      </w:r>
    </w:p>
    <w:p>
      <w:pPr>
        <w:pStyle w:val="Compact"/>
        <w:numPr>
          <w:ilvl w:val="0"/>
          <w:numId w:val="1001"/>
        </w:numPr>
      </w:pPr>
      <w:r>
        <w:rPr>
          <w:b/>
          <w:bCs/>
        </w:rPr>
        <w:t xml:space="preserve">Establish ROI evidence</w:t>
      </w:r>
      <w:r>
        <w:t xml:space="preserve"> </w:t>
      </w:r>
      <w:r>
        <w:t xml:space="preserve">for conversational AI platform investments in healthcare settings</w:t>
      </w:r>
    </w:p>
    <w:bookmarkEnd w:id="27"/>
    <w:bookmarkStart w:id="28" w:name="non-goals"/>
    <w:p>
      <w:pPr>
        <w:pStyle w:val="Heading3"/>
      </w:pPr>
      <w:r>
        <w:rPr>
          <w:rStyle w:val="SectionNumber"/>
        </w:rPr>
        <w:t xml:space="preserve">2.3.3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8"/>
    <w:bookmarkEnd w:id="29"/>
    <w:bookmarkStart w:id="30" w:name="contributions"/>
    <w:p>
      <w:pPr>
        <w:pStyle w:val="Heading2"/>
      </w:pPr>
      <w:r>
        <w:rPr>
          <w:rStyle w:val="SectionNumber"/>
        </w:rPr>
        <w:t xml:space="preserve">2.4</w:t>
      </w:r>
      <w:r>
        <w:tab/>
      </w:r>
      <w:r>
        <w:t xml:space="preserve">Contributions</w:t>
      </w:r>
    </w:p>
    <w:p>
      <w:pPr>
        <w:pStyle w:val="FirstParagraph"/>
      </w:pPr>
      <w:r>
        <w:t xml:space="preserve">This paper makes three contributions to the healthcare informatics literature:</w:t>
      </w:r>
    </w:p>
    <w:p>
      <w:pPr>
        <w:numPr>
          <w:ilvl w:val="0"/>
          <w:numId w:val="1003"/>
        </w:numPr>
      </w:pPr>
      <w:r>
        <w:rPr>
          <w:b/>
          <w:bCs/>
        </w:rPr>
        <w:t xml:space="preserve">Three-Pillar Analytical Framework</w:t>
      </w:r>
      <w:r>
        <w:t xml:space="preserve">: We synthesize evidence from three previously disconnected research domains—healthcare analytics maturity, workforce turnover, and natural language processing—into a unified analytical framework that reveals how these challenges interconnect and compound each other.</w:t>
      </w:r>
    </w:p>
    <w:p>
      <w:pPr>
        <w:numPr>
          <w:ilvl w:val="0"/>
          <w:numId w:val="1003"/>
        </w:numPr>
      </w:pPr>
      <w:r>
        <w:rPr>
          <w:b/>
          <w:bCs/>
        </w:rPr>
        <w:t xml:space="preserve">Healthcare Knowledge Portal Architecture</w:t>
      </w:r>
      <w:r>
        <w:t xml:space="preserve">: Drawing on established knowledge management literature [A25, A26], we position conversational AI platforms as healthcare knowledge portals—systems that provide mechanisms for knowledge acquisition, storage, sharing, and utilization. This framing addresses the institutional memory crisis in healthcare by embedding organizational expertise within AI systems rather than relying on individual staff retention.</w:t>
      </w:r>
    </w:p>
    <w:p>
      <w:pPr>
        <w:numPr>
          <w:ilvl w:val="0"/>
          <w:numId w:val="1003"/>
        </w:numPr>
      </w:pPr>
      <w:r>
        <w:rPr>
          <w:b/>
          <w:bCs/>
        </w:rPr>
        <w:t xml:space="preserve">Convergence Thesis</w:t>
      </w:r>
      <w:r>
        <w:t xml:space="preserve">: We demonstrate that the simultaneous occurrence of technical advances in NL2SQL, low analytics maturity, and high workforce turnover creates conditions warranting organizational assessment. This convergence positions conversational AI as a potential mechanism for institutional knowledge preservation, though implementation decisions require organization-specific evaluation.</w:t>
      </w:r>
    </w:p>
    <w:bookmarkEnd w:id="30"/>
    <w:bookmarkStart w:id="31" w:name="document-structure"/>
    <w:p>
      <w:pPr>
        <w:pStyle w:val="Heading2"/>
      </w:pPr>
      <w:r>
        <w:rPr>
          <w:rStyle w:val="SectionNumber"/>
        </w:rPr>
        <w:t xml:space="preserve">2.5</w:t>
      </w:r>
      <w:r>
        <w:tab/>
      </w:r>
      <w:r>
        <w:t xml:space="preserve">Document Structure</w:t>
      </w:r>
    </w:p>
    <w:p>
      <w:pPr>
        <w:pStyle w:val="FirstParagraph"/>
      </w:pPr>
      <w:r>
        <w:t xml:space="preserve">Following this introduction, the paper proceeds through four main sections. The Methodology section describes the narrative review approach, literature search strategy, and source selection criteria. The Literature Review synthesizes evidence across the three challenge domains, establishing the current state of natural language processing in healthcare, analytics maturity research, and workforce turnover impacts. The Discussion examines implications, limitations, and future research directions. Finally, the Conclusion summarizes the three-pillar analytical framework as this paper’s primary contribution to healthcare informatics literature.</w:t>
      </w:r>
    </w:p>
    <w:bookmarkEnd w:id="31"/>
    <w:bookmarkEnd w:id="32"/>
    <w:bookmarkStart w:id="39" w:name="methodology"/>
    <w:p>
      <w:pPr>
        <w:pStyle w:val="Heading1"/>
      </w:pPr>
      <w:r>
        <w:rPr>
          <w:rStyle w:val="SectionNumber"/>
        </w:rPr>
        <w:t xml:space="preserve">3</w:t>
      </w:r>
      <w:r>
        <w:tab/>
      </w:r>
      <w:r>
        <w:t xml:space="preserve">Methodology</w:t>
      </w:r>
    </w:p>
    <w:bookmarkStart w:id="33" w:name="review-approach"/>
    <w:p>
      <w:pPr>
        <w:pStyle w:val="Heading2"/>
      </w:pPr>
      <w:r>
        <w:rPr>
          <w:rStyle w:val="SectionNumber"/>
        </w:rPr>
        <w:t xml:space="preserve">3.1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4"/>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4"/>
        </w:numPr>
      </w:pPr>
      <w:r>
        <w:rPr>
          <w:b/>
          <w:bCs/>
        </w:rPr>
        <w:t xml:space="preserve">Original analytical framework</w:t>
      </w:r>
      <w:r>
        <w:t xml:space="preserve">: The three-pillar framework emerged iteratively from the literature rather than being pre-specified</w:t>
      </w:r>
    </w:p>
    <w:p>
      <w:pPr>
        <w:pStyle w:val="Compact"/>
        <w:numPr>
          <w:ilvl w:val="0"/>
          <w:numId w:val="1004"/>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3"/>
    <w:bookmarkStart w:id="34" w:name="literature-search"/>
    <w:p>
      <w:pPr>
        <w:pStyle w:val="Heading2"/>
      </w:pPr>
      <w:r>
        <w:rPr>
          <w:rStyle w:val="SectionNumber"/>
        </w:rPr>
        <w:t xml:space="preserve">3.2</w:t>
      </w:r>
      <w:r>
        <w:tab/>
      </w:r>
      <w:r>
        <w:t xml:space="preserve">Literature Search</w:t>
      </w:r>
    </w:p>
    <w:p>
      <w:pPr>
        <w:pStyle w:val="FirstParagraph"/>
      </w:pPr>
      <w:r>
        <w:t xml:space="preserve">Literature was identified through multiple channels between January 2023 and December 2024:</w:t>
      </w:r>
    </w:p>
    <w:p>
      <w:pPr>
        <w:pStyle w:val="BodyText"/>
      </w:pPr>
      <w:r>
        <w:rPr>
          <w:b/>
          <w:bCs/>
        </w:rPr>
        <w:t xml:space="preserve">Academic Databases:</w:t>
      </w:r>
    </w:p>
    <w:p>
      <w:pPr>
        <w:pStyle w:val="Compact"/>
        <w:numPr>
          <w:ilvl w:val="0"/>
          <w:numId w:val="1005"/>
        </w:numPr>
      </w:pPr>
      <w:r>
        <w:t xml:space="preserve">PubMed/MEDLINE: Clinical informatics, healthcare workforce, medical administration</w:t>
      </w:r>
    </w:p>
    <w:p>
      <w:pPr>
        <w:pStyle w:val="Compact"/>
        <w:numPr>
          <w:ilvl w:val="0"/>
          <w:numId w:val="1005"/>
        </w:numPr>
      </w:pPr>
      <w:r>
        <w:t xml:space="preserve">IEEE Xplore and ACM Digital Library: Natural language to SQL, text-to-SQL systems</w:t>
      </w:r>
    </w:p>
    <w:p>
      <w:pPr>
        <w:pStyle w:val="Compact"/>
        <w:numPr>
          <w:ilvl w:val="0"/>
          <w:numId w:val="1005"/>
        </w:numPr>
      </w:pPr>
      <w:r>
        <w:t xml:space="preserve">arXiv: Machine learning and NLP preprints, benchmark studies</w:t>
      </w:r>
    </w:p>
    <w:p>
      <w:pPr>
        <w:pStyle w:val="Compact"/>
        <w:numPr>
          <w:ilvl w:val="0"/>
          <w:numId w:val="1005"/>
        </w:numPr>
      </w:pPr>
      <w:r>
        <w:t xml:space="preserve">Google Scholar: Cross-disciplinary search and citation tracing</w:t>
      </w:r>
    </w:p>
    <w:p>
      <w:pPr>
        <w:pStyle w:val="FirstParagraph"/>
      </w:pPr>
      <w:r>
        <w:rPr>
          <w:b/>
          <w:bCs/>
        </w:rPr>
        <w:t xml:space="preserve">Industry Sources:</w:t>
      </w:r>
    </w:p>
    <w:p>
      <w:pPr>
        <w:pStyle w:val="Compact"/>
        <w:numPr>
          <w:ilvl w:val="0"/>
          <w:numId w:val="1006"/>
        </w:numPr>
      </w:pPr>
      <w:r>
        <w:t xml:space="preserve">HIMSS publications and Analytics Maturity Model documentation</w:t>
      </w:r>
    </w:p>
    <w:p>
      <w:pPr>
        <w:pStyle w:val="Compact"/>
        <w:numPr>
          <w:ilvl w:val="0"/>
          <w:numId w:val="1006"/>
        </w:numPr>
      </w:pPr>
      <w:r>
        <w:t xml:space="preserve">Healthcare IT vendor case studies and implementation reports</w:t>
      </w:r>
    </w:p>
    <w:p>
      <w:pPr>
        <w:pStyle w:val="Compact"/>
        <w:numPr>
          <w:ilvl w:val="0"/>
          <w:numId w:val="1006"/>
        </w:numPr>
      </w:pPr>
      <w:r>
        <w:t xml:space="preserve">Market research reports (Precedence Research, Forrester)</w:t>
      </w:r>
    </w:p>
    <w:p>
      <w:pPr>
        <w:pStyle w:val="Compact"/>
        <w:numPr>
          <w:ilvl w:val="0"/>
          <w:numId w:val="1006"/>
        </w:numPr>
      </w:pPr>
      <w:r>
        <w:t xml:space="preserve">Professional association surveys and white papers</w:t>
      </w:r>
    </w:p>
    <w:p>
      <w:pPr>
        <w:pStyle w:val="FirstParagraph"/>
      </w:pPr>
      <w:r>
        <w:rPr>
          <w:b/>
          <w:bCs/>
        </w:rPr>
        <w:t xml:space="preserve">Search Concepts:</w:t>
      </w:r>
    </w:p>
    <w:p>
      <w:pPr>
        <w:pStyle w:val="BodyText"/>
      </w:pPr>
      <w:r>
        <w:t xml:space="preserve">Primary search terms included combinations of:</w:t>
      </w:r>
      <w:r>
        <w:t xml:space="preserve"> </w:t>
      </w:r>
      <w:r>
        <w:t xml:space="preserve">“</w:t>
      </w:r>
      <w:r>
        <w:t xml:space="preserve">natural language SQL,</w:t>
      </w:r>
      <w:r>
        <w:t xml:space="preserve">”</w:t>
      </w:r>
      <w:r>
        <w:t xml:space="preserve"> </w:t>
      </w:r>
      <w:r>
        <w:t xml:space="preserve">“</w:t>
      </w:r>
      <w:r>
        <w:t xml:space="preserve">text-to-SQL healthcare,</w:t>
      </w:r>
      <w:r>
        <w:t xml:space="preserve">”</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nursing turnover,</w:t>
      </w:r>
      <w:r>
        <w:t xml:space="preserve">”</w:t>
      </w:r>
      <w:r>
        <w:t xml:space="preserve"> </w:t>
      </w:r>
      <w:r>
        <w:t xml:space="preserve">“</w:t>
      </w:r>
      <w:r>
        <w:t xml:space="preserve">IT workforce turnover healthcare,</w:t>
      </w:r>
      <w:r>
        <w:t xml:space="preserve">”</w:t>
      </w:r>
      <w:r>
        <w:t xml:space="preserve"> </w:t>
      </w:r>
      <w:r>
        <w:t xml:space="preserve">“</w:t>
      </w:r>
      <w:r>
        <w:t xml:space="preserve">institutional memory loss,</w:t>
      </w:r>
      <w:r>
        <w:t xml:space="preserve">”</w:t>
      </w:r>
      <w:r>
        <w:t xml:space="preserve"> </w:t>
      </w:r>
      <w:r>
        <w:t xml:space="preserve">“</w:t>
      </w:r>
      <w:r>
        <w:t xml:space="preserve">low-code healthcare analytics,</w:t>
      </w:r>
      <w:r>
        <w:t xml:space="preserve">”</w:t>
      </w:r>
      <w:r>
        <w:t xml:space="preserve"> </w:t>
      </w:r>
      <w:r>
        <w:t xml:space="preserve">and</w:t>
      </w:r>
      <w:r>
        <w:t xml:space="preserve"> </w:t>
      </w:r>
      <w:r>
        <w:t xml:space="preserve">“</w:t>
      </w:r>
      <w:r>
        <w:t xml:space="preserve">conversational AI clinical decision support.</w:t>
      </w:r>
      <w:r>
        <w:t xml:space="preserve">”</w:t>
      </w:r>
    </w:p>
    <w:p>
      <w:pPr>
        <w:pStyle w:val="BodyText"/>
      </w:pPr>
      <w:r>
        <w:rPr>
          <w:b/>
          <w:bCs/>
        </w:rPr>
        <w:t xml:space="preserve">Table 2: Literature Search Strategy</w:t>
      </w:r>
    </w:p>
    <w:tbl>
      <w:tblPr>
        <w:tblStyle w:val="Table"/>
        <w:tblW w:type="pct" w:w="5000"/>
        <w:jc w:val="left"/>
        <w:tblLayout w:type="fixed"/>
        <w:tblLook w:firstRow="1" w:lastRow="0" w:firstColumn="0" w:lastColumn="0" w:noHBand="0" w:noVBand="0" w:val="0020"/>
      </w:tblPr>
      <w:tblGrid>
        <w:gridCol w:w="1028"/>
        <w:gridCol w:w="2160"/>
        <w:gridCol w:w="1234"/>
        <w:gridCol w:w="1748"/>
        <w:gridCol w:w="1748"/>
      </w:tblGrid>
      <w:tr>
        <w:trPr>
          <w:tblHeader w:val="on"/>
        </w:trPr>
        <w:tc>
          <w:tcPr/>
          <w:p>
            <w:pPr>
              <w:pStyle w:val="Compact"/>
              <w:jc w:val="left"/>
            </w:pPr>
            <w:r>
              <w:t xml:space="preserve">Database</w:t>
            </w:r>
          </w:p>
        </w:tc>
        <w:tc>
          <w:tcPr/>
          <w:p>
            <w:pPr>
              <w:pStyle w:val="Compact"/>
              <w:jc w:val="left"/>
            </w:pPr>
            <w:r>
              <w:t xml:space="preserve">Primary Search Terms</w:t>
            </w:r>
          </w:p>
        </w:tc>
        <w:tc>
          <w:tcPr/>
          <w:p>
            <w:pPr>
              <w:pStyle w:val="Compact"/>
              <w:jc w:val="left"/>
            </w:pPr>
            <w:r>
              <w:t xml:space="preserve">Date Range</w:t>
            </w:r>
          </w:p>
        </w:tc>
        <w:tc>
          <w:tcPr/>
          <w:p>
            <w:pPr>
              <w:pStyle w:val="Compact"/>
              <w:jc w:val="left"/>
            </w:pPr>
            <w:r>
              <w:t xml:space="preserve">Initial Results</w:t>
            </w:r>
          </w:p>
        </w:tc>
        <w:tc>
          <w:tcPr/>
          <w:p>
            <w:pPr>
              <w:pStyle w:val="Compact"/>
              <w:jc w:val="left"/>
            </w:pPr>
            <w:r>
              <w:t xml:space="preserve">After Screening</w:t>
            </w:r>
          </w:p>
        </w:tc>
      </w:tr>
      <w:tr>
        <w:tc>
          <w:tcPr/>
          <w:p>
            <w:pPr>
              <w:pStyle w:val="Compact"/>
              <w:jc w:val="left"/>
            </w:pPr>
            <w:r>
              <w:t xml:space="preserve">PubMed/MEDLINE</w:t>
            </w:r>
          </w:p>
        </w:tc>
        <w:tc>
          <w:tcPr/>
          <w:p>
            <w:pPr>
              <w:pStyle w:val="Compact"/>
              <w:jc w:val="left"/>
            </w:pPr>
            <w:r>
              <w:t xml:space="preserve">(</w:t>
            </w:r>
            <w:r>
              <w:t xml:space="preserve">“</w:t>
            </w:r>
            <w:r>
              <w:t xml:space="preserve">natural language processing</w:t>
            </w:r>
            <w:r>
              <w:t xml:space="preserve">”</w:t>
            </w:r>
            <w:r>
              <w:t xml:space="preserve"> </w:t>
            </w:r>
            <w:r>
              <w:t xml:space="preserve">OR</w:t>
            </w:r>
            <w:r>
              <w:t xml:space="preserve"> </w:t>
            </w:r>
            <w:r>
              <w:t xml:space="preserve">“</w:t>
            </w:r>
            <w:r>
              <w:t xml:space="preserve">NLP</w:t>
            </w:r>
            <w:r>
              <w:t xml:space="preserve">”</w:t>
            </w:r>
            <w:r>
              <w:t xml:space="preserve">) AND (</w:t>
            </w:r>
            <w:r>
              <w:t xml:space="preserve">“</w:t>
            </w:r>
            <w:r>
              <w:t xml:space="preserve">healthcare</w:t>
            </w:r>
            <w:r>
              <w:t xml:space="preserve">”</w:t>
            </w:r>
            <w:r>
              <w:t xml:space="preserve"> </w:t>
            </w:r>
            <w:r>
              <w:t xml:space="preserve">OR</w:t>
            </w:r>
            <w:r>
              <w:t xml:space="preserve"> </w:t>
            </w:r>
            <w:r>
              <w:t xml:space="preserve">“</w:t>
            </w:r>
            <w:r>
              <w:t xml:space="preserve">clinical</w:t>
            </w:r>
            <w:r>
              <w:t xml:space="preserve">”</w:t>
            </w:r>
            <w:r>
              <w:t xml:space="preserve">) AND (</w:t>
            </w:r>
            <w:r>
              <w:t xml:space="preserve">“</w:t>
            </w:r>
            <w:r>
              <w:t xml:space="preserve">analytics</w:t>
            </w:r>
            <w:r>
              <w:t xml:space="preserve">”</w:t>
            </w:r>
            <w:r>
              <w:t xml:space="preserve"> </w:t>
            </w:r>
            <w:r>
              <w:t xml:space="preserve">OR</w:t>
            </w:r>
            <w:r>
              <w:t xml:space="preserve"> </w:t>
            </w:r>
            <w:r>
              <w:t xml:space="preserve">“</w:t>
            </w:r>
            <w:r>
              <w:t xml:space="preserve">SQL</w:t>
            </w:r>
            <w:r>
              <w:t xml:space="preserve">”</w:t>
            </w:r>
            <w:r>
              <w:t xml:space="preserve">)</w:t>
            </w:r>
          </w:p>
        </w:tc>
        <w:tc>
          <w:tcPr/>
          <w:p>
            <w:pPr>
              <w:pStyle w:val="Compact"/>
              <w:jc w:val="left"/>
            </w:pPr>
            <w:r>
              <w:t xml:space="preserve">2015-2024</w:t>
            </w:r>
          </w:p>
        </w:tc>
        <w:tc>
          <w:tcPr/>
          <w:p>
            <w:pPr>
              <w:pStyle w:val="Compact"/>
              <w:jc w:val="left"/>
            </w:pPr>
            <w:r>
              <w:t xml:space="preserve">~120</w:t>
            </w:r>
          </w:p>
        </w:tc>
        <w:tc>
          <w:tcPr/>
          <w:p>
            <w:pPr>
              <w:pStyle w:val="Compact"/>
              <w:jc w:val="left"/>
            </w:pPr>
            <w:r>
              <w:t xml:space="preserve">12</w:t>
            </w:r>
          </w:p>
        </w:tc>
      </w:tr>
      <w:tr>
        <w:tc>
          <w:tcPr/>
          <w:p>
            <w:pPr>
              <w:pStyle w:val="Compact"/>
              <w:jc w:val="left"/>
            </w:pPr>
            <w:r>
              <w:t xml:space="preserve">IEEE Xplore</w:t>
            </w:r>
          </w:p>
        </w:tc>
        <w:tc>
          <w:tcPr/>
          <w:p>
            <w:pPr>
              <w:pStyle w:val="Compact"/>
              <w:jc w:val="left"/>
            </w:pPr>
            <w:r>
              <w:t xml:space="preserve">“</w:t>
            </w:r>
            <w:r>
              <w:t xml:space="preserve">text-to-SQL</w:t>
            </w:r>
            <w:r>
              <w:t xml:space="preserve">”</w:t>
            </w:r>
            <w:r>
              <w:t xml:space="preserve"> </w:t>
            </w:r>
            <w:r>
              <w:t xml:space="preserve">AND (</w:t>
            </w:r>
            <w:r>
              <w:t xml:space="preserve">“</w:t>
            </w:r>
            <w:r>
              <w:t xml:space="preserve">healthcare</w:t>
            </w:r>
            <w:r>
              <w:t xml:space="preserve">”</w:t>
            </w:r>
            <w:r>
              <w:t xml:space="preserve"> </w:t>
            </w:r>
            <w:r>
              <w:t xml:space="preserve">OR</w:t>
            </w:r>
            <w:r>
              <w:t xml:space="preserve"> </w:t>
            </w:r>
            <w:r>
              <w:t xml:space="preserve">“</w:t>
            </w:r>
            <w:r>
              <w:t xml:space="preserve">medical</w:t>
            </w:r>
            <w:r>
              <w:t xml:space="preserve">”</w:t>
            </w:r>
            <w:r>
              <w:t xml:space="preserve"> </w:t>
            </w:r>
            <w:r>
              <w:t xml:space="preserve">OR</w:t>
            </w:r>
            <w:r>
              <w:t xml:space="preserve"> </w:t>
            </w:r>
            <w:r>
              <w:t xml:space="preserve">“</w:t>
            </w:r>
            <w:r>
              <w:t xml:space="preserve">clinical</w:t>
            </w:r>
            <w:r>
              <w:t xml:space="preserve">”</w:t>
            </w:r>
            <w:r>
              <w:t xml:space="preserve">)</w:t>
            </w:r>
          </w:p>
        </w:tc>
        <w:tc>
          <w:tcPr/>
          <w:p>
            <w:pPr>
              <w:pStyle w:val="Compact"/>
              <w:jc w:val="left"/>
            </w:pPr>
            <w:r>
              <w:t xml:space="preserve">2015-2024</w:t>
            </w:r>
          </w:p>
        </w:tc>
        <w:tc>
          <w:tcPr/>
          <w:p>
            <w:pPr>
              <w:pStyle w:val="Compact"/>
              <w:jc w:val="left"/>
            </w:pPr>
            <w:r>
              <w:t xml:space="preserve">~45</w:t>
            </w:r>
          </w:p>
        </w:tc>
        <w:tc>
          <w:tcPr/>
          <w:p>
            <w:pPr>
              <w:pStyle w:val="Compact"/>
              <w:jc w:val="left"/>
            </w:pPr>
            <w:r>
              <w:t xml:space="preserve">8</w:t>
            </w:r>
          </w:p>
        </w:tc>
      </w:tr>
      <w:tr>
        <w:tc>
          <w:tcPr/>
          <w:p>
            <w:pPr>
              <w:pStyle w:val="Compact"/>
              <w:jc w:val="left"/>
            </w:pPr>
            <w:r>
              <w:t xml:space="preserve">ACM Digital Library</w:t>
            </w:r>
          </w:p>
        </w:tc>
        <w:tc>
          <w:tcPr/>
          <w:p>
            <w:pPr>
              <w:pStyle w:val="Compact"/>
              <w:jc w:val="left"/>
            </w:pPr>
            <w:r>
              <w:t xml:space="preserve">“</w:t>
            </w:r>
            <w:r>
              <w:t xml:space="preserve">natural language</w:t>
            </w:r>
            <w:r>
              <w:t xml:space="preserve">”</w:t>
            </w:r>
            <w:r>
              <w:t xml:space="preserve"> </w:t>
            </w:r>
            <w:r>
              <w:t xml:space="preserve">AND</w:t>
            </w:r>
            <w:r>
              <w:t xml:space="preserve"> </w:t>
            </w:r>
            <w:r>
              <w:t xml:space="preserve">“</w:t>
            </w:r>
            <w:r>
              <w:t xml:space="preserve">SQL</w:t>
            </w:r>
            <w:r>
              <w:t xml:space="preserve">”</w:t>
            </w:r>
            <w:r>
              <w:t xml:space="preserve"> </w:t>
            </w:r>
            <w:r>
              <w:t xml:space="preserve">AND</w:t>
            </w:r>
            <w:r>
              <w:t xml:space="preserve"> </w:t>
            </w:r>
            <w:r>
              <w:t xml:space="preserve">“</w:t>
            </w:r>
            <w:r>
              <w:t xml:space="preserve">healthcare</w:t>
            </w:r>
            <w:r>
              <w:t xml:space="preserve">”</w:t>
            </w:r>
          </w:p>
        </w:tc>
        <w:tc>
          <w:tcPr/>
          <w:p>
            <w:pPr>
              <w:pStyle w:val="Compact"/>
              <w:jc w:val="left"/>
            </w:pPr>
            <w:r>
              <w:t xml:space="preserve">2015-2024</w:t>
            </w:r>
          </w:p>
        </w:tc>
        <w:tc>
          <w:tcPr/>
          <w:p>
            <w:pPr>
              <w:pStyle w:val="Compact"/>
              <w:jc w:val="left"/>
            </w:pPr>
            <w:r>
              <w:t xml:space="preserve">~30</w:t>
            </w:r>
          </w:p>
        </w:tc>
        <w:tc>
          <w:tcPr/>
          <w:p>
            <w:pPr>
              <w:pStyle w:val="Compact"/>
              <w:jc w:val="left"/>
            </w:pPr>
            <w:r>
              <w:t xml:space="preserve">5</w:t>
            </w:r>
          </w:p>
        </w:tc>
      </w:tr>
      <w:tr>
        <w:tc>
          <w:tcPr/>
          <w:p>
            <w:pPr>
              <w:pStyle w:val="Compact"/>
              <w:jc w:val="left"/>
            </w:pPr>
            <w:r>
              <w:t xml:space="preserve">arXiv (cs.CL, cs.DB)</w:t>
            </w:r>
          </w:p>
        </w:tc>
        <w:tc>
          <w:tcPr/>
          <w:p>
            <w:pPr>
              <w:pStyle w:val="Compact"/>
              <w:jc w:val="left"/>
            </w:pPr>
            <w:r>
              <w:t xml:space="preserve">“</w:t>
            </w:r>
            <w:r>
              <w:t xml:space="preserve">healthcare</w:t>
            </w:r>
            <w:r>
              <w:t xml:space="preserve">”</w:t>
            </w:r>
            <w:r>
              <w:t xml:space="preserve"> </w:t>
            </w:r>
            <w:r>
              <w:t xml:space="preserve">AND (</w:t>
            </w:r>
            <w:r>
              <w:t xml:space="preserve">“</w:t>
            </w:r>
            <w:r>
              <w:t xml:space="preserve">text-to-SQL</w:t>
            </w:r>
            <w:r>
              <w:t xml:space="preserve">”</w:t>
            </w:r>
            <w:r>
              <w:t xml:space="preserve"> </w:t>
            </w:r>
            <w:r>
              <w:t xml:space="preserve">OR</w:t>
            </w:r>
            <w:r>
              <w:t xml:space="preserve"> </w:t>
            </w:r>
            <w:r>
              <w:t xml:space="preserve">“</w:t>
            </w:r>
            <w:r>
              <w:t xml:space="preserve">NL2SQL</w:t>
            </w:r>
            <w:r>
              <w:t xml:space="preserve">”</w:t>
            </w:r>
            <w:r>
              <w:t xml:space="preserve">)</w:t>
            </w:r>
          </w:p>
        </w:tc>
        <w:tc>
          <w:tcPr/>
          <w:p>
            <w:pPr>
              <w:pStyle w:val="Compact"/>
              <w:jc w:val="left"/>
            </w:pPr>
            <w:r>
              <w:t xml:space="preserve">2020-2024</w:t>
            </w:r>
          </w:p>
        </w:tc>
        <w:tc>
          <w:tcPr/>
          <w:p>
            <w:pPr>
              <w:pStyle w:val="Compact"/>
              <w:jc w:val="left"/>
            </w:pPr>
            <w:r>
              <w:t xml:space="preserve">~25</w:t>
            </w:r>
          </w:p>
        </w:tc>
        <w:tc>
          <w:tcPr/>
          <w:p>
            <w:pPr>
              <w:pStyle w:val="Compact"/>
              <w:jc w:val="left"/>
            </w:pPr>
            <w:r>
              <w:t xml:space="preserve">4</w:t>
            </w:r>
          </w:p>
        </w:tc>
      </w:tr>
      <w:tr>
        <w:tc>
          <w:tcPr/>
          <w:p>
            <w:pPr>
              <w:pStyle w:val="Compact"/>
              <w:jc w:val="left"/>
            </w:pPr>
            <w:r>
              <w:t xml:space="preserve">Google Scholar</w:t>
            </w:r>
          </w:p>
        </w:tc>
        <w:tc>
          <w:tcPr/>
          <w:p>
            <w:pPr>
              <w:pStyle w:val="Compact"/>
              <w:jc w:val="left"/>
            </w:pPr>
            <w:r>
              <w:t xml:space="preserve">“</w:t>
            </w:r>
            <w:r>
              <w:t xml:space="preserve">healthcare analytics maturity</w:t>
            </w:r>
            <w:r>
              <w:t xml:space="preserve">”</w:t>
            </w:r>
            <w:r>
              <w:t xml:space="preserve"> </w:t>
            </w:r>
            <w:r>
              <w:t xml:space="preserve">OR</w:t>
            </w:r>
            <w:r>
              <w:t xml:space="preserve"> </w:t>
            </w:r>
            <w:r>
              <w:t xml:space="preserve">“</w:t>
            </w:r>
            <w:r>
              <w:t xml:space="preserve">HIMSS AMAM</w:t>
            </w:r>
            <w:r>
              <w:t xml:space="preserve">”</w:t>
            </w:r>
          </w:p>
        </w:tc>
        <w:tc>
          <w:tcPr/>
          <w:p>
            <w:pPr>
              <w:pStyle w:val="Compact"/>
              <w:jc w:val="left"/>
            </w:pPr>
            <w:r>
              <w:t xml:space="preserve">2015-2024</w:t>
            </w:r>
          </w:p>
        </w:tc>
        <w:tc>
          <w:tcPr/>
          <w:p>
            <w:pPr>
              <w:pStyle w:val="Compact"/>
              <w:jc w:val="left"/>
            </w:pPr>
            <w:r>
              <w:t xml:space="preserve">~200</w:t>
            </w:r>
          </w:p>
        </w:tc>
        <w:tc>
          <w:tcPr/>
          <w:p>
            <w:pPr>
              <w:pStyle w:val="Compact"/>
              <w:jc w:val="left"/>
            </w:pPr>
            <w:r>
              <w:t xml:space="preserve">8</w:t>
            </w:r>
          </w:p>
        </w:tc>
      </w:tr>
      <w:tr>
        <w:tc>
          <w:tcPr/>
          <w:p>
            <w:pPr>
              <w:pStyle w:val="Compact"/>
              <w:jc w:val="left"/>
            </w:pPr>
            <w:r>
              <w:t xml:space="preserve">Google Scholar</w:t>
            </w:r>
          </w:p>
        </w:tc>
        <w:tc>
          <w:tcPr/>
          <w:p>
            <w:pPr>
              <w:pStyle w:val="Compact"/>
              <w:jc w:val="left"/>
            </w:pPr>
            <w:r>
              <w:t xml:space="preserve">“</w:t>
            </w:r>
            <w:r>
              <w:t xml:space="preserve">nursing turnover</w:t>
            </w:r>
            <w:r>
              <w:t xml:space="preserve">”</w:t>
            </w:r>
            <w:r>
              <w:t xml:space="preserve"> </w:t>
            </w:r>
            <w:r>
              <w:t xml:space="preserve">OR</w:t>
            </w:r>
            <w:r>
              <w:t xml:space="preserve"> </w:t>
            </w:r>
            <w:r>
              <w:t xml:space="preserve">“</w:t>
            </w:r>
            <w:r>
              <w:t xml:space="preserve">healthcare IT turnover</w:t>
            </w:r>
            <w:r>
              <w:t xml:space="preserve">”</w:t>
            </w:r>
          </w:p>
        </w:tc>
        <w:tc>
          <w:tcPr/>
          <w:p>
            <w:pPr>
              <w:pStyle w:val="Compact"/>
              <w:jc w:val="left"/>
            </w:pPr>
            <w:r>
              <w:t xml:space="preserve">2004-2024</w:t>
            </w:r>
          </w:p>
        </w:tc>
        <w:tc>
          <w:tcPr/>
          <w:p>
            <w:pPr>
              <w:pStyle w:val="Compact"/>
              <w:jc w:val="left"/>
            </w:pPr>
            <w:r>
              <w:t xml:space="preserve">~150</w:t>
            </w:r>
          </w:p>
        </w:tc>
        <w:tc>
          <w:tcPr/>
          <w:p>
            <w:pPr>
              <w:pStyle w:val="Compact"/>
              <w:jc w:val="left"/>
            </w:pPr>
            <w:r>
              <w:t xml:space="preserve">4</w:t>
            </w:r>
          </w:p>
        </w:tc>
      </w:tr>
      <w:tr>
        <w:tc>
          <w:tcPr/>
          <w:p>
            <w:pPr>
              <w:pStyle w:val="Compact"/>
              <w:jc w:val="left"/>
            </w:pPr>
            <w:r>
              <w:rPr>
                <w:b/>
                <w:bCs/>
              </w:rPr>
              <w:t xml:space="preserve">Total</w:t>
            </w:r>
          </w:p>
        </w:tc>
        <w:tc>
          <w:tcPr/>
          <w:p>
            <w:pPr>
              <w:pStyle w:val="Compact"/>
            </w:pPr>
          </w:p>
        </w:tc>
        <w:tc>
          <w:tcPr/>
          <w:p>
            <w:pPr>
              <w:pStyle w:val="Compact"/>
            </w:pPr>
          </w:p>
        </w:tc>
        <w:tc>
          <w:tcPr/>
          <w:p>
            <w:pPr>
              <w:pStyle w:val="Compact"/>
              <w:jc w:val="left"/>
            </w:pPr>
            <w:r>
              <w:rPr>
                <w:b/>
                <w:bCs/>
              </w:rPr>
              <w:t xml:space="preserve">~570</w:t>
            </w:r>
          </w:p>
        </w:tc>
        <w:tc>
          <w:tcPr/>
          <w:p>
            <w:pPr>
              <w:pStyle w:val="Compact"/>
              <w:jc w:val="left"/>
            </w:pPr>
            <w:r>
              <w:rPr>
                <w:b/>
                <w:bCs/>
              </w:rPr>
              <w:t xml:space="preserve">41</w:t>
            </w:r>
          </w:p>
        </w:tc>
      </w:tr>
    </w:tbl>
    <w:p>
      <w:pPr>
        <w:pStyle w:val="BodyText"/>
      </w:pPr>
      <w:r>
        <w:rPr>
          <w:i/>
          <w:iCs/>
        </w:rPr>
        <w:t xml:space="preserve">Note: Counts are approximate; exact numbers varied due to iterative search refinement. Final corpus includes 30 academic and 11 industry sources.</w:t>
      </w:r>
    </w:p>
    <w:p>
      <w:pPr>
        <w:pStyle w:val="BodyText"/>
      </w:pPr>
      <w:r>
        <w:t xml:space="preserve">Figure 1 illustrates the literature selection process, showing progression from initial database search through screening and quality assessment to the final corpus of 41 sources.</w:t>
      </w:r>
    </w:p>
    <w:bookmarkEnd w:id="34"/>
    <w:bookmarkStart w:id="35" w:name="source-selection"/>
    <w:p>
      <w:pPr>
        <w:pStyle w:val="Heading2"/>
      </w:pPr>
      <w:r>
        <w:rPr>
          <w:rStyle w:val="SectionNumber"/>
        </w:rPr>
        <w:t xml:space="preserve">3.3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7"/>
        </w:numPr>
      </w:pPr>
      <w:r>
        <w:t xml:space="preserve">Peer-reviewed publications in healthcare informatics, medical informatics, computer science, or health services research</w:t>
      </w:r>
    </w:p>
    <w:p>
      <w:pPr>
        <w:pStyle w:val="Compact"/>
        <w:numPr>
          <w:ilvl w:val="0"/>
          <w:numId w:val="1007"/>
        </w:numPr>
      </w:pPr>
      <w:r>
        <w:t xml:space="preserve">Industry reports from established healthcare IT organizations (HIMSS, AHIMA, AMIA)</w:t>
      </w:r>
    </w:p>
    <w:p>
      <w:pPr>
        <w:pStyle w:val="Compact"/>
        <w:numPr>
          <w:ilvl w:val="0"/>
          <w:numId w:val="1007"/>
        </w:numPr>
      </w:pPr>
      <w:r>
        <w:t xml:space="preserve">Publications from 2015-2024, with emphasis on 2020-2024 for rapidly evolving NL2SQL technologies</w:t>
      </w:r>
    </w:p>
    <w:p>
      <w:pPr>
        <w:pStyle w:val="Compact"/>
        <w:numPr>
          <w:ilvl w:val="0"/>
          <w:numId w:val="1007"/>
        </w:numPr>
      </w:pPr>
      <w:r>
        <w:t xml:space="preserve">English language publications</w:t>
      </w:r>
    </w:p>
    <w:p>
      <w:pPr>
        <w:pStyle w:val="Compact"/>
        <w:numPr>
          <w:ilvl w:val="0"/>
          <w:numId w:val="1007"/>
        </w:numPr>
      </w:pPr>
      <w:r>
        <w:t xml:space="preserve">Sources with verifiable DOIs, URLs, or institutional attribution</w:t>
      </w:r>
    </w:p>
    <w:p>
      <w:pPr>
        <w:pStyle w:val="FirstParagraph"/>
      </w:pPr>
      <w:r>
        <w:rPr>
          <w:b/>
          <w:bCs/>
        </w:rPr>
        <w:t xml:space="preserve">Exclusion Criteria:</w:t>
      </w:r>
    </w:p>
    <w:p>
      <w:pPr>
        <w:pStyle w:val="Compact"/>
        <w:numPr>
          <w:ilvl w:val="0"/>
          <w:numId w:val="1008"/>
        </w:numPr>
      </w:pPr>
      <w:r>
        <w:t xml:space="preserve">Sources without verifiable attribution or institutional backing</w:t>
      </w:r>
    </w:p>
    <w:p>
      <w:pPr>
        <w:pStyle w:val="Compact"/>
        <w:numPr>
          <w:ilvl w:val="0"/>
          <w:numId w:val="1008"/>
        </w:numPr>
      </w:pPr>
      <w:r>
        <w:t xml:space="preserve">Vendor marketing materials without independent validation</w:t>
      </w:r>
    </w:p>
    <w:p>
      <w:pPr>
        <w:pStyle w:val="Compact"/>
        <w:numPr>
          <w:ilvl w:val="0"/>
          <w:numId w:val="1008"/>
        </w:numPr>
      </w:pPr>
      <w:r>
        <w:t xml:space="preserve">Preprints without subsequent peer-reviewed publication (exception: foundational NL2SQL benchmarks where peer review is pending)</w:t>
      </w:r>
    </w:p>
    <w:p>
      <w:pPr>
        <w:pStyle w:val="Compact"/>
        <w:numPr>
          <w:ilvl w:val="0"/>
          <w:numId w:val="1008"/>
        </w:numPr>
      </w:pPr>
      <w:r>
        <w:t xml:space="preserve">Studies with unverifiable statistics or methodological concerns</w:t>
      </w:r>
    </w:p>
    <w:bookmarkEnd w:id="35"/>
    <w:bookmarkStart w:id="36" w:name="evidence-synthesis"/>
    <w:p>
      <w:pPr>
        <w:pStyle w:val="Heading2"/>
      </w:pPr>
      <w:r>
        <w:rPr>
          <w:rStyle w:val="SectionNumber"/>
        </w:rPr>
        <w:t xml:space="preserve">3.4</w:t>
      </w:r>
      <w:r>
        <w:tab/>
      </w:r>
      <w:r>
        <w:t xml:space="preserve">Evidence Synthesis</w:t>
      </w:r>
    </w:p>
    <w:p>
      <w:pPr>
        <w:pStyle w:val="FirstParagraph"/>
      </w:pPr>
      <w:r>
        <w:t xml:space="preserve">Evidence was synthesized thematically around the three-pillar framework:</w:t>
      </w:r>
    </w:p>
    <w:p>
      <w:pPr>
        <w:pStyle w:val="Compact"/>
        <w:numPr>
          <w:ilvl w:val="0"/>
          <w:numId w:val="1009"/>
        </w:numPr>
      </w:pPr>
      <w:r>
        <w:rPr>
          <w:b/>
          <w:bCs/>
        </w:rPr>
        <w:t xml:space="preserve">Analytics maturity</w:t>
      </w:r>
      <w:r>
        <w:t xml:space="preserve">: Evidence on HIMSS AMAM adoption, healthcare analytics capabilities, and organizational readiness</w:t>
      </w:r>
    </w:p>
    <w:p>
      <w:pPr>
        <w:pStyle w:val="Compact"/>
        <w:numPr>
          <w:ilvl w:val="0"/>
          <w:numId w:val="1009"/>
        </w:numPr>
      </w:pPr>
      <w:r>
        <w:rPr>
          <w:b/>
          <w:bCs/>
        </w:rPr>
        <w:t xml:space="preserve">Workforce turnover</w:t>
      </w:r>
      <w:r>
        <w:t xml:space="preserve">: Evidence on nursing and IT staff turnover rates, institutional memory loss, and knowledge transfer challenges</w:t>
      </w:r>
    </w:p>
    <w:p>
      <w:pPr>
        <w:pStyle w:val="Compact"/>
        <w:numPr>
          <w:ilvl w:val="0"/>
          <w:numId w:val="1009"/>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 Citation verification followed the methodology documented in the reference verification process, which identified and removed 5 likely AI-generated fabrications and 29 unused references from the original draft.</w:t>
      </w:r>
    </w:p>
    <w:bookmarkEnd w:id="36"/>
    <w:bookmarkStart w:id="37" w:name="grey-literature-quality-assessment"/>
    <w:p>
      <w:pPr>
        <w:pStyle w:val="Heading2"/>
      </w:pPr>
      <w:r>
        <w:rPr>
          <w:rStyle w:val="SectionNumber"/>
        </w:rPr>
        <w:t xml:space="preserve">3.5</w:t>
      </w:r>
      <w:r>
        <w:tab/>
      </w:r>
      <w:r>
        <w:t xml:space="preserve">Grey Literature Quality Assessment</w:t>
      </w:r>
    </w:p>
    <w:p>
      <w:pPr>
        <w:pStyle w:val="FirstParagraph"/>
      </w:pPr>
      <w:r>
        <w:t xml:space="preserve">Grey literature sources were assessed using the AACODS checklist (Tyndall, 2010) [A30], which evaluates Authority, Accuracy, Coverage, Objectivity, Date, and Significance. Sources with vendor sponsorship were retained when no independent alternative existed but flagged in-text. Table 1 summarizes the assessment.</w:t>
      </w:r>
    </w:p>
    <w:p>
      <w:pPr>
        <w:pStyle w:val="BodyText"/>
      </w:pPr>
      <w:r>
        <w:rPr>
          <w:b/>
          <w:bCs/>
        </w:rPr>
        <w:t xml:space="preserve">Table 1: AACODS Assessment of Industry Sources</w:t>
      </w:r>
    </w:p>
    <w:tbl>
      <w:tblPr>
        <w:tblStyle w:val="Table"/>
        <w:tblW w:type="pct" w:w="5000"/>
        <w:jc w:val="left"/>
        <w:tblLayout w:type="fixed"/>
        <w:tblLook w:firstRow="1" w:lastRow="0" w:firstColumn="0" w:lastColumn="0" w:noHBand="0" w:noVBand="0" w:val="0020"/>
      </w:tblPr>
      <w:tblGrid>
        <w:gridCol w:w="782"/>
        <w:gridCol w:w="1075"/>
        <w:gridCol w:w="977"/>
        <w:gridCol w:w="977"/>
        <w:gridCol w:w="1271"/>
        <w:gridCol w:w="586"/>
        <w:gridCol w:w="1368"/>
        <w:gridCol w:w="880"/>
      </w:tblGrid>
      <w:tr>
        <w:trPr>
          <w:tblHeader w:val="on"/>
        </w:trPr>
        <w:tc>
          <w:tcPr/>
          <w:p>
            <w:pPr>
              <w:pStyle w:val="Compact"/>
              <w:jc w:val="left"/>
            </w:pPr>
            <w:r>
              <w:t xml:space="preserve">Source</w:t>
            </w:r>
          </w:p>
        </w:tc>
        <w:tc>
          <w:tcPr/>
          <w:p>
            <w:pPr>
              <w:pStyle w:val="Compact"/>
              <w:jc w:val="left"/>
            </w:pPr>
            <w:r>
              <w:t xml:space="preserve">Authority</w:t>
            </w:r>
          </w:p>
        </w:tc>
        <w:tc>
          <w:tcPr/>
          <w:p>
            <w:pPr>
              <w:pStyle w:val="Compact"/>
              <w:jc w:val="left"/>
            </w:pPr>
            <w:r>
              <w:t xml:space="preserve">Accuracy</w:t>
            </w:r>
          </w:p>
        </w:tc>
        <w:tc>
          <w:tcPr/>
          <w:p>
            <w:pPr>
              <w:pStyle w:val="Compact"/>
              <w:jc w:val="left"/>
            </w:pPr>
            <w:r>
              <w:t xml:space="preserve">Coverage</w:t>
            </w:r>
          </w:p>
        </w:tc>
        <w:tc>
          <w:tcPr/>
          <w:p>
            <w:pPr>
              <w:pStyle w:val="Compact"/>
              <w:jc w:val="left"/>
            </w:pPr>
            <w:r>
              <w:t xml:space="preserve">Objectivity</w:t>
            </w:r>
          </w:p>
        </w:tc>
        <w:tc>
          <w:tcPr/>
          <w:p>
            <w:pPr>
              <w:pStyle w:val="Compact"/>
              <w:jc w:val="left"/>
            </w:pPr>
            <w:r>
              <w:t xml:space="preserve">Date</w:t>
            </w:r>
          </w:p>
        </w:tc>
        <w:tc>
          <w:tcPr/>
          <w:p>
            <w:pPr>
              <w:pStyle w:val="Compact"/>
              <w:jc w:val="left"/>
            </w:pPr>
            <w:r>
              <w:t xml:space="preserve">Significance</w:t>
            </w:r>
          </w:p>
        </w:tc>
        <w:tc>
          <w:tcPr/>
          <w:p>
            <w:pPr>
              <w:pStyle w:val="Compact"/>
              <w:jc w:val="left"/>
            </w:pPr>
            <w:r>
              <w:t xml:space="preserve">Include</w:t>
            </w:r>
          </w:p>
        </w:tc>
      </w:tr>
      <w:tr>
        <w:tc>
          <w:tcPr/>
          <w:p>
            <w:pPr>
              <w:pStyle w:val="Compact"/>
              <w:jc w:val="left"/>
            </w:pPr>
            <w:r>
              <w:t xml:space="preserve">[I1] HIMSS AMAM</w:t>
            </w:r>
          </w:p>
        </w:tc>
        <w:tc>
          <w:tcPr/>
          <w:p>
            <w:pPr>
              <w:pStyle w:val="Compact"/>
              <w:jc w:val="left"/>
            </w:pPr>
            <w:r>
              <w:t xml:space="preserve">High (industry standards body)</w:t>
            </w:r>
          </w:p>
        </w:tc>
        <w:tc>
          <w:tcPr/>
          <w:p>
            <w:pPr>
              <w:pStyle w:val="Compact"/>
              <w:jc w:val="left"/>
            </w:pPr>
            <w:r>
              <w:t xml:space="preserve">Verifiable</w:t>
            </w:r>
          </w:p>
        </w:tc>
        <w:tc>
          <w:tcPr/>
          <w:p>
            <w:pPr>
              <w:pStyle w:val="Compact"/>
              <w:jc w:val="left"/>
            </w:pPr>
            <w:r>
              <w:t xml:space="preserve">Global</w:t>
            </w:r>
          </w:p>
        </w:tc>
        <w:tc>
          <w:tcPr/>
          <w:p>
            <w:pPr>
              <w:pStyle w:val="Compact"/>
              <w:jc w:val="left"/>
            </w:pPr>
            <w:r>
              <w:t xml:space="preserve">High</w:t>
            </w:r>
          </w:p>
        </w:tc>
        <w:tc>
          <w:tcPr/>
          <w:p>
            <w:pPr>
              <w:pStyle w:val="Compact"/>
              <w:jc w:val="left"/>
            </w:pPr>
            <w:r>
              <w:t xml:space="preserve">2024</w:t>
            </w:r>
          </w:p>
        </w:tc>
        <w:tc>
          <w:tcPr/>
          <w:p>
            <w:pPr>
              <w:pStyle w:val="Compact"/>
              <w:jc w:val="left"/>
            </w:pPr>
            <w:r>
              <w:t xml:space="preserve">High</w:t>
            </w:r>
          </w:p>
        </w:tc>
        <w:tc>
          <w:tcPr/>
          <w:p>
            <w:pPr>
              <w:pStyle w:val="Compact"/>
              <w:jc w:val="left"/>
            </w:pPr>
            <w:r>
              <w:t xml:space="preserve">Yes</w:t>
            </w:r>
          </w:p>
        </w:tc>
      </w:tr>
      <w:tr>
        <w:tc>
          <w:tcPr/>
          <w:p>
            <w:pPr>
              <w:pStyle w:val="Compact"/>
              <w:jc w:val="left"/>
            </w:pPr>
            <w:r>
              <w:t xml:space="preserve">[I2] Snowdon/HIMSS</w:t>
            </w:r>
          </w:p>
        </w:tc>
        <w:tc>
          <w:tcPr/>
          <w:p>
            <w:pPr>
              <w:pStyle w:val="Compact"/>
              <w:jc w:val="left"/>
            </w:pPr>
            <w:r>
              <w:t xml:space="preserve">High (HIMSS officer)</w:t>
            </w:r>
          </w:p>
        </w:tc>
        <w:tc>
          <w:tcPr/>
          <w:p>
            <w:pPr>
              <w:pStyle w:val="Compact"/>
              <w:jc w:val="left"/>
            </w:pPr>
            <w:r>
              <w:t xml:space="preserve">Verifiable</w:t>
            </w:r>
          </w:p>
        </w:tc>
        <w:tc>
          <w:tcPr/>
          <w:p>
            <w:pPr>
              <w:pStyle w:val="Compact"/>
              <w:jc w:val="left"/>
            </w:pPr>
            <w:r>
              <w:t xml:space="preserve">N/A</w:t>
            </w:r>
          </w:p>
        </w:tc>
        <w:tc>
          <w:tcPr/>
          <w:p>
            <w:pPr>
              <w:pStyle w:val="Compact"/>
              <w:jc w:val="left"/>
            </w:pPr>
            <w:r>
              <w:t xml:space="preserve">High</w:t>
            </w:r>
          </w:p>
        </w:tc>
        <w:tc>
          <w:tcPr/>
          <w:p>
            <w:pPr>
              <w:pStyle w:val="Compact"/>
              <w:jc w:val="left"/>
            </w:pPr>
            <w:r>
              <w:t xml:space="preserve">2024</w:t>
            </w:r>
          </w:p>
        </w:tc>
        <w:tc>
          <w:tcPr/>
          <w:p>
            <w:pPr>
              <w:pStyle w:val="Compact"/>
              <w:jc w:val="left"/>
            </w:pPr>
            <w:r>
              <w:t xml:space="preserve">Medium</w:t>
            </w:r>
          </w:p>
        </w:tc>
        <w:tc>
          <w:tcPr/>
          <w:p>
            <w:pPr>
              <w:pStyle w:val="Compact"/>
              <w:jc w:val="left"/>
            </w:pPr>
            <w:r>
              <w:t xml:space="preserve">Yes</w:t>
            </w:r>
          </w:p>
        </w:tc>
      </w:tr>
      <w:tr>
        <w:tc>
          <w:tcPr/>
          <w:p>
            <w:pPr>
              <w:pStyle w:val="Compact"/>
              <w:jc w:val="left"/>
            </w:pPr>
            <w:r>
              <w:t xml:space="preserve">[I3] Health Catalyst</w:t>
            </w:r>
          </w:p>
        </w:tc>
        <w:tc>
          <w:tcPr/>
          <w:p>
            <w:pPr>
              <w:pStyle w:val="Compact"/>
              <w:jc w:val="left"/>
            </w:pPr>
            <w:r>
              <w:t xml:space="preserve">Medium (vendor)</w:t>
            </w:r>
          </w:p>
        </w:tc>
        <w:tc>
          <w:tcPr/>
          <w:p>
            <w:pPr>
              <w:pStyle w:val="Compact"/>
              <w:jc w:val="left"/>
            </w:pPr>
            <w:r>
              <w:t xml:space="preserve">Unverifiable</w:t>
            </w:r>
          </w:p>
        </w:tc>
        <w:tc>
          <w:tcPr/>
          <w:p>
            <w:pPr>
              <w:pStyle w:val="Compact"/>
              <w:jc w:val="left"/>
            </w:pPr>
            <w:r>
              <w:t xml:space="preserve">US</w:t>
            </w:r>
          </w:p>
        </w:tc>
        <w:tc>
          <w:tcPr/>
          <w:p>
            <w:pPr>
              <w:pStyle w:val="Compact"/>
              <w:jc w:val="left"/>
            </w:pPr>
            <w:r>
              <w:t xml:space="preserve">Low</w:t>
            </w:r>
          </w:p>
        </w:tc>
        <w:tc>
          <w:tcPr/>
          <w:p>
            <w:pPr>
              <w:pStyle w:val="Compact"/>
              <w:jc w:val="left"/>
            </w:pPr>
            <w:r>
              <w:t xml:space="preserve">2020</w:t>
            </w:r>
          </w:p>
        </w:tc>
        <w:tc>
          <w:tcPr/>
          <w:p>
            <w:pPr>
              <w:pStyle w:val="Compact"/>
              <w:jc w:val="left"/>
            </w:pPr>
            <w:r>
              <w:t xml:space="preserve">Medium</w:t>
            </w:r>
          </w:p>
        </w:tc>
        <w:tc>
          <w:tcPr/>
          <w:p>
            <w:pPr>
              <w:pStyle w:val="Compact"/>
              <w:jc w:val="left"/>
            </w:pPr>
            <w:r>
              <w:t xml:space="preserve">Yes*</w:t>
            </w:r>
          </w:p>
        </w:tc>
      </w:tr>
      <w:tr>
        <w:tc>
          <w:tcPr/>
          <w:p>
            <w:pPr>
              <w:pStyle w:val="Compact"/>
              <w:jc w:val="left"/>
            </w:pPr>
            <w:r>
              <w:t xml:space="preserve">[I4] Berkshire NHS</w:t>
            </w:r>
          </w:p>
        </w:tc>
        <w:tc>
          <w:tcPr/>
          <w:p>
            <w:pPr>
              <w:pStyle w:val="Compact"/>
              <w:jc w:val="left"/>
            </w:pPr>
            <w:r>
              <w:t xml:space="preserve">High (NHS trust)</w:t>
            </w:r>
          </w:p>
        </w:tc>
        <w:tc>
          <w:tcPr/>
          <w:p>
            <w:pPr>
              <w:pStyle w:val="Compact"/>
              <w:jc w:val="left"/>
            </w:pPr>
            <w:r>
              <w:t xml:space="preserve">Verifiable</w:t>
            </w:r>
          </w:p>
        </w:tc>
        <w:tc>
          <w:tcPr/>
          <w:p>
            <w:pPr>
              <w:pStyle w:val="Compact"/>
              <w:jc w:val="left"/>
            </w:pPr>
            <w:r>
              <w:t xml:space="preserve">Single site</w:t>
            </w:r>
          </w:p>
        </w:tc>
        <w:tc>
          <w:tcPr/>
          <w:p>
            <w:pPr>
              <w:pStyle w:val="Compact"/>
              <w:jc w:val="left"/>
            </w:pPr>
            <w:r>
              <w:t xml:space="preserve">High</w:t>
            </w:r>
          </w:p>
        </w:tc>
        <w:tc>
          <w:tcPr/>
          <w:p>
            <w:pPr>
              <w:pStyle w:val="Compact"/>
              <w:jc w:val="left"/>
            </w:pPr>
            <w:r>
              <w:t xml:space="preserve">2024</w:t>
            </w:r>
          </w:p>
        </w:tc>
        <w:tc>
          <w:tcPr/>
          <w:p>
            <w:pPr>
              <w:pStyle w:val="Compact"/>
              <w:jc w:val="left"/>
            </w:pPr>
            <w:r>
              <w:t xml:space="preserve">High</w:t>
            </w:r>
          </w:p>
        </w:tc>
        <w:tc>
          <w:tcPr/>
          <w:p>
            <w:pPr>
              <w:pStyle w:val="Compact"/>
              <w:jc w:val="left"/>
            </w:pPr>
            <w:r>
              <w:t xml:space="preserve">Yes</w:t>
            </w:r>
          </w:p>
        </w:tc>
      </w:tr>
      <w:tr>
        <w:tc>
          <w:tcPr/>
          <w:p>
            <w:pPr>
              <w:pStyle w:val="Compact"/>
              <w:jc w:val="left"/>
            </w:pPr>
            <w:r>
              <w:t xml:space="preserve">[I5] Forrester/Microsoft</w:t>
            </w:r>
          </w:p>
        </w:tc>
        <w:tc>
          <w:tcPr/>
          <w:p>
            <w:pPr>
              <w:pStyle w:val="Compact"/>
              <w:jc w:val="left"/>
            </w:pPr>
            <w:r>
              <w:t xml:space="preserve">Medium (analyst firm)</w:t>
            </w:r>
          </w:p>
        </w:tc>
        <w:tc>
          <w:tcPr/>
          <w:p>
            <w:pPr>
              <w:pStyle w:val="Compact"/>
              <w:jc w:val="left"/>
            </w:pPr>
            <w:r>
              <w:t xml:space="preserve">Unverifiable</w:t>
            </w:r>
          </w:p>
        </w:tc>
        <w:tc>
          <w:tcPr/>
          <w:p>
            <w:pPr>
              <w:pStyle w:val="Compact"/>
              <w:jc w:val="left"/>
            </w:pPr>
            <w:r>
              <w:t xml:space="preserve">Enterprise</w:t>
            </w:r>
          </w:p>
        </w:tc>
        <w:tc>
          <w:tcPr/>
          <w:p>
            <w:pPr>
              <w:pStyle w:val="Compact"/>
              <w:jc w:val="left"/>
            </w:pPr>
            <w:r>
              <w:t xml:space="preserve">Low (sponsor)</w:t>
            </w:r>
          </w:p>
        </w:tc>
        <w:tc>
          <w:tcPr/>
          <w:p>
            <w:pPr>
              <w:pStyle w:val="Compact"/>
              <w:jc w:val="left"/>
            </w:pPr>
            <w:r>
              <w:t xml:space="preserve">2024</w:t>
            </w:r>
          </w:p>
        </w:tc>
        <w:tc>
          <w:tcPr/>
          <w:p>
            <w:pPr>
              <w:pStyle w:val="Compact"/>
              <w:jc w:val="left"/>
            </w:pPr>
            <w:r>
              <w:t xml:space="preserve">Medium</w:t>
            </w:r>
          </w:p>
        </w:tc>
        <w:tc>
          <w:tcPr/>
          <w:p>
            <w:pPr>
              <w:pStyle w:val="Compact"/>
              <w:jc w:val="left"/>
            </w:pPr>
            <w:r>
              <w:t xml:space="preserve">Yes*</w:t>
            </w:r>
          </w:p>
        </w:tc>
      </w:tr>
      <w:tr>
        <w:tc>
          <w:tcPr/>
          <w:p>
            <w:pPr>
              <w:pStyle w:val="Compact"/>
              <w:jc w:val="left"/>
            </w:pPr>
            <w:r>
              <w:t xml:space="preserve">[I6] Oracle</w:t>
            </w:r>
          </w:p>
        </w:tc>
        <w:tc>
          <w:tcPr/>
          <w:p>
            <w:pPr>
              <w:pStyle w:val="Compact"/>
              <w:jc w:val="left"/>
            </w:pPr>
            <w:r>
              <w:t xml:space="preserve">Low (vendor)</w:t>
            </w:r>
          </w:p>
        </w:tc>
        <w:tc>
          <w:tcPr/>
          <w:p>
            <w:pPr>
              <w:pStyle w:val="Compact"/>
              <w:jc w:val="left"/>
            </w:pPr>
            <w:r>
              <w:t xml:space="preserve">Unverifiable</w:t>
            </w:r>
          </w:p>
        </w:tc>
        <w:tc>
          <w:tcPr/>
          <w:p>
            <w:pPr>
              <w:pStyle w:val="Compact"/>
              <w:jc w:val="left"/>
            </w:pPr>
            <w:r>
              <w:t xml:space="preserve">N/A</w:t>
            </w:r>
          </w:p>
        </w:tc>
        <w:tc>
          <w:tcPr/>
          <w:p>
            <w:pPr>
              <w:pStyle w:val="Compact"/>
              <w:jc w:val="left"/>
            </w:pPr>
            <w:r>
              <w:t xml:space="preserve">Low</w:t>
            </w:r>
          </w:p>
        </w:tc>
        <w:tc>
          <w:tcPr/>
          <w:p>
            <w:pPr>
              <w:pStyle w:val="Compact"/>
              <w:jc w:val="left"/>
            </w:pPr>
            <w:r>
              <w:t xml:space="preserve">2024</w:t>
            </w:r>
          </w:p>
        </w:tc>
        <w:tc>
          <w:tcPr/>
          <w:p>
            <w:pPr>
              <w:pStyle w:val="Compact"/>
              <w:jc w:val="left"/>
            </w:pPr>
            <w:r>
              <w:t xml:space="preserve">Low</w:t>
            </w:r>
          </w:p>
        </w:tc>
        <w:tc>
          <w:tcPr/>
          <w:p>
            <w:pPr>
              <w:pStyle w:val="Compact"/>
              <w:jc w:val="left"/>
            </w:pPr>
            <w:r>
              <w:t xml:space="preserve">Yes*</w:t>
            </w:r>
          </w:p>
        </w:tc>
      </w:tr>
      <w:tr>
        <w:tc>
          <w:tcPr/>
          <w:p>
            <w:pPr>
              <w:pStyle w:val="Compact"/>
              <w:jc w:val="left"/>
            </w:pPr>
            <w:r>
              <w:t xml:space="preserve">[I7] Precedence Research</w:t>
            </w:r>
          </w:p>
        </w:tc>
        <w:tc>
          <w:tcPr/>
          <w:p>
            <w:pPr>
              <w:pStyle w:val="Compact"/>
              <w:jc w:val="left"/>
            </w:pPr>
            <w:r>
              <w:t xml:space="preserve">Medium (market research)</w:t>
            </w:r>
          </w:p>
        </w:tc>
        <w:tc>
          <w:tcPr/>
          <w:p>
            <w:pPr>
              <w:pStyle w:val="Compact"/>
              <w:jc w:val="left"/>
            </w:pPr>
            <w:r>
              <w:t xml:space="preserve">Unverifiable</w:t>
            </w:r>
          </w:p>
        </w:tc>
        <w:tc>
          <w:tcPr/>
          <w:p>
            <w:pPr>
              <w:pStyle w:val="Compact"/>
              <w:jc w:val="left"/>
            </w:pPr>
            <w:r>
              <w:t xml:space="preserve">Global</w:t>
            </w:r>
          </w:p>
        </w:tc>
        <w:tc>
          <w:tcPr/>
          <w:p>
            <w:pPr>
              <w:pStyle w:val="Compact"/>
              <w:jc w:val="left"/>
            </w:pPr>
            <w:r>
              <w:t xml:space="preserve">Medium</w:t>
            </w:r>
          </w:p>
        </w:tc>
        <w:tc>
          <w:tcPr/>
          <w:p>
            <w:pPr>
              <w:pStyle w:val="Compact"/>
              <w:jc w:val="left"/>
            </w:pPr>
            <w:r>
              <w:t xml:space="preserve">2024</w:t>
            </w:r>
          </w:p>
        </w:tc>
        <w:tc>
          <w:tcPr/>
          <w:p>
            <w:pPr>
              <w:pStyle w:val="Compact"/>
              <w:jc w:val="left"/>
            </w:pPr>
            <w:r>
              <w:t xml:space="preserve">Medium</w:t>
            </w:r>
          </w:p>
        </w:tc>
        <w:tc>
          <w:tcPr/>
          <w:p>
            <w:pPr>
              <w:pStyle w:val="Compact"/>
              <w:jc w:val="left"/>
            </w:pPr>
            <w:r>
              <w:t xml:space="preserve">Yes</w:t>
            </w:r>
          </w:p>
        </w:tc>
      </w:tr>
      <w:tr>
        <w:tc>
          <w:tcPr/>
          <w:p>
            <w:pPr>
              <w:pStyle w:val="Compact"/>
              <w:jc w:val="left"/>
            </w:pPr>
            <w:r>
              <w:t xml:space="preserve">[I8] Anthropic</w:t>
            </w:r>
          </w:p>
        </w:tc>
        <w:tc>
          <w:tcPr/>
          <w:p>
            <w:pPr>
              <w:pStyle w:val="Compact"/>
              <w:jc w:val="left"/>
            </w:pPr>
            <w:r>
              <w:t xml:space="preserve">Medium (vendor)</w:t>
            </w:r>
          </w:p>
        </w:tc>
        <w:tc>
          <w:tcPr/>
          <w:p>
            <w:pPr>
              <w:pStyle w:val="Compact"/>
              <w:jc w:val="left"/>
            </w:pPr>
            <w:r>
              <w:t xml:space="preserve">Verifiable</w:t>
            </w:r>
          </w:p>
        </w:tc>
        <w:tc>
          <w:tcPr/>
          <w:p>
            <w:pPr>
              <w:pStyle w:val="Compact"/>
              <w:jc w:val="left"/>
            </w:pPr>
            <w:r>
              <w:t xml:space="preserve">N/A</w:t>
            </w:r>
          </w:p>
        </w:tc>
        <w:tc>
          <w:tcPr/>
          <w:p>
            <w:pPr>
              <w:pStyle w:val="Compact"/>
              <w:jc w:val="left"/>
            </w:pPr>
            <w:r>
              <w:t xml:space="preserve">Medium</w:t>
            </w:r>
          </w:p>
        </w:tc>
        <w:tc>
          <w:tcPr/>
          <w:p>
            <w:pPr>
              <w:pStyle w:val="Compact"/>
              <w:jc w:val="left"/>
            </w:pPr>
            <w:r>
              <w:t xml:space="preserve">2025</w:t>
            </w:r>
          </w:p>
        </w:tc>
        <w:tc>
          <w:tcPr/>
          <w:p>
            <w:pPr>
              <w:pStyle w:val="Compact"/>
              <w:jc w:val="left"/>
            </w:pPr>
            <w:r>
              <w:t xml:space="preserve">Low</w:t>
            </w:r>
          </w:p>
        </w:tc>
        <w:tc>
          <w:tcPr/>
          <w:p>
            <w:pPr>
              <w:pStyle w:val="Compact"/>
              <w:jc w:val="left"/>
            </w:pPr>
            <w:r>
              <w:t xml:space="preserve">Yes</w:t>
            </w:r>
          </w:p>
        </w:tc>
      </w:tr>
      <w:tr>
        <w:tc>
          <w:tcPr/>
          <w:p>
            <w:pPr>
              <w:pStyle w:val="Compact"/>
              <w:jc w:val="left"/>
            </w:pPr>
            <w:r>
              <w:t xml:space="preserve">[I9] IBM Newsroom</w:t>
            </w:r>
          </w:p>
        </w:tc>
        <w:tc>
          <w:tcPr/>
          <w:p>
            <w:pPr>
              <w:pStyle w:val="Compact"/>
              <w:jc w:val="left"/>
            </w:pPr>
            <w:r>
              <w:t xml:space="preserve">High (journalism)</w:t>
            </w:r>
          </w:p>
        </w:tc>
        <w:tc>
          <w:tcPr/>
          <w:p>
            <w:pPr>
              <w:pStyle w:val="Compact"/>
              <w:jc w:val="left"/>
            </w:pPr>
            <w:r>
              <w:t xml:space="preserve">Verifiable</w:t>
            </w:r>
          </w:p>
        </w:tc>
        <w:tc>
          <w:tcPr/>
          <w:p>
            <w:pPr>
              <w:pStyle w:val="Compact"/>
              <w:jc w:val="left"/>
            </w:pPr>
            <w:r>
              <w:t xml:space="preserve">N/A</w:t>
            </w:r>
          </w:p>
        </w:tc>
        <w:tc>
          <w:tcPr/>
          <w:p>
            <w:pPr>
              <w:pStyle w:val="Compact"/>
              <w:jc w:val="left"/>
            </w:pPr>
            <w:r>
              <w:t xml:space="preserve">High</w:t>
            </w:r>
          </w:p>
        </w:tc>
        <w:tc>
          <w:tcPr/>
          <w:p>
            <w:pPr>
              <w:pStyle w:val="Compact"/>
              <w:jc w:val="left"/>
            </w:pPr>
            <w:r>
              <w:t xml:space="preserve">2022</w:t>
            </w:r>
          </w:p>
        </w:tc>
        <w:tc>
          <w:tcPr/>
          <w:p>
            <w:pPr>
              <w:pStyle w:val="Compact"/>
              <w:jc w:val="left"/>
            </w:pPr>
            <w:r>
              <w:t xml:space="preserve">High</w:t>
            </w:r>
          </w:p>
        </w:tc>
        <w:tc>
          <w:tcPr/>
          <w:p>
            <w:pPr>
              <w:pStyle w:val="Compact"/>
              <w:jc w:val="left"/>
            </w:pPr>
            <w:r>
              <w:t xml:space="preserve">Yes</w:t>
            </w:r>
          </w:p>
        </w:tc>
      </w:tr>
      <w:tr>
        <w:tc>
          <w:tcPr/>
          <w:p>
            <w:pPr>
              <w:pStyle w:val="Compact"/>
              <w:jc w:val="left"/>
            </w:pPr>
            <w:r>
              <w:t xml:space="preserve">[I10] CNBC/Haven</w:t>
            </w:r>
          </w:p>
        </w:tc>
        <w:tc>
          <w:tcPr/>
          <w:p>
            <w:pPr>
              <w:pStyle w:val="Compact"/>
              <w:jc w:val="left"/>
            </w:pPr>
            <w:r>
              <w:t xml:space="preserve">High (journalism)</w:t>
            </w:r>
          </w:p>
        </w:tc>
        <w:tc>
          <w:tcPr/>
          <w:p>
            <w:pPr>
              <w:pStyle w:val="Compact"/>
              <w:jc w:val="left"/>
            </w:pPr>
            <w:r>
              <w:t xml:space="preserve">Verifiable</w:t>
            </w:r>
          </w:p>
        </w:tc>
        <w:tc>
          <w:tcPr/>
          <w:p>
            <w:pPr>
              <w:pStyle w:val="Compact"/>
              <w:jc w:val="left"/>
            </w:pPr>
            <w:r>
              <w:t xml:space="preserve">N/A</w:t>
            </w:r>
          </w:p>
        </w:tc>
        <w:tc>
          <w:tcPr/>
          <w:p>
            <w:pPr>
              <w:pStyle w:val="Compact"/>
              <w:jc w:val="left"/>
            </w:pPr>
            <w:r>
              <w:t xml:space="preserve">High</w:t>
            </w:r>
          </w:p>
        </w:tc>
        <w:tc>
          <w:tcPr/>
          <w:p>
            <w:pPr>
              <w:pStyle w:val="Compact"/>
              <w:jc w:val="left"/>
            </w:pPr>
            <w:r>
              <w:t xml:space="preserve">2021</w:t>
            </w:r>
          </w:p>
        </w:tc>
        <w:tc>
          <w:tcPr/>
          <w:p>
            <w:pPr>
              <w:pStyle w:val="Compact"/>
              <w:jc w:val="left"/>
            </w:pPr>
            <w:r>
              <w:t xml:space="preserve">High</w:t>
            </w:r>
          </w:p>
        </w:tc>
        <w:tc>
          <w:tcPr/>
          <w:p>
            <w:pPr>
              <w:pStyle w:val="Compact"/>
              <w:jc w:val="left"/>
            </w:pPr>
            <w:r>
              <w:t xml:space="preserve">Yes</w:t>
            </w:r>
          </w:p>
        </w:tc>
      </w:tr>
      <w:tr>
        <w:tc>
          <w:tcPr/>
          <w:p>
            <w:pPr>
              <w:pStyle w:val="Compact"/>
              <w:jc w:val="left"/>
            </w:pPr>
            <w:r>
              <w:t xml:space="preserve">[I11] AHIMA/NORC</w:t>
            </w:r>
          </w:p>
        </w:tc>
        <w:tc>
          <w:tcPr/>
          <w:p>
            <w:pPr>
              <w:pStyle w:val="Compact"/>
              <w:jc w:val="left"/>
            </w:pPr>
            <w:r>
              <w:t xml:space="preserve">High (professional assoc + academic)</w:t>
            </w:r>
          </w:p>
        </w:tc>
        <w:tc>
          <w:tcPr/>
          <w:p>
            <w:pPr>
              <w:pStyle w:val="Compact"/>
              <w:jc w:val="left"/>
            </w:pPr>
            <w:r>
              <w:t xml:space="preserve">Verifiable</w:t>
            </w:r>
          </w:p>
        </w:tc>
        <w:tc>
          <w:tcPr/>
          <w:p>
            <w:pPr>
              <w:pStyle w:val="Compact"/>
              <w:jc w:val="left"/>
            </w:pPr>
            <w:r>
              <w:t xml:space="preserve">US</w:t>
            </w:r>
          </w:p>
        </w:tc>
        <w:tc>
          <w:tcPr/>
          <w:p>
            <w:pPr>
              <w:pStyle w:val="Compact"/>
              <w:jc w:val="left"/>
            </w:pPr>
            <w:r>
              <w:t xml:space="preserve">High</w:t>
            </w:r>
          </w:p>
        </w:tc>
        <w:tc>
          <w:tcPr/>
          <w:p>
            <w:pPr>
              <w:pStyle w:val="Compact"/>
              <w:jc w:val="left"/>
            </w:pPr>
            <w:r>
              <w:t xml:space="preserve">2023</w:t>
            </w:r>
          </w:p>
        </w:tc>
        <w:tc>
          <w:tcPr/>
          <w:p>
            <w:pPr>
              <w:pStyle w:val="Compact"/>
              <w:jc w:val="left"/>
            </w:pPr>
            <w:r>
              <w:t xml:space="preserve">High</w:t>
            </w:r>
          </w:p>
        </w:tc>
        <w:tc>
          <w:tcPr/>
          <w:p>
            <w:pPr>
              <w:pStyle w:val="Compact"/>
              <w:jc w:val="left"/>
            </w:pPr>
            <w:r>
              <w:t xml:space="preserve">Yes</w:t>
            </w:r>
          </w:p>
        </w:tc>
      </w:tr>
    </w:tbl>
    <w:p>
      <w:pPr>
        <w:pStyle w:val="BodyText"/>
      </w:pPr>
      <w:r>
        <w:t xml:space="preserve">*Vendor sponsorship or low objectivity noted in manuscript text.</w:t>
      </w:r>
    </w:p>
    <w:bookmarkEnd w:id="37"/>
    <w:bookmarkStart w:id="38" w:name="methodological-limitations"/>
    <w:p>
      <w:pPr>
        <w:pStyle w:val="Heading2"/>
      </w:pPr>
      <w:r>
        <w:rPr>
          <w:rStyle w:val="SectionNumber"/>
        </w:rPr>
        <w:t xml:space="preserve">3.6</w:t>
      </w:r>
      <w:r>
        <w:tab/>
      </w:r>
      <w:r>
        <w:t xml:space="preserve">Methodological Limitations</w:t>
      </w:r>
    </w:p>
    <w:p>
      <w:pPr>
        <w:pStyle w:val="FirstParagraph"/>
      </w:pPr>
      <w:r>
        <w:t xml:space="preserve">This narrative review has inherent limitations:</w:t>
      </w:r>
    </w:p>
    <w:p>
      <w:pPr>
        <w:pStyle w:val="Compact"/>
        <w:numPr>
          <w:ilvl w:val="0"/>
          <w:numId w:val="1010"/>
        </w:numPr>
      </w:pPr>
      <w:r>
        <w:rPr>
          <w:b/>
          <w:bCs/>
        </w:rPr>
        <w:t xml:space="preserve">Non-exhaustive search</w:t>
      </w:r>
      <w:r>
        <w:t xml:space="preserve">: Literature identification was selective rather than exhaustive; relevant studies may have been missed</w:t>
      </w:r>
    </w:p>
    <w:p>
      <w:pPr>
        <w:pStyle w:val="Compact"/>
        <w:numPr>
          <w:ilvl w:val="0"/>
          <w:numId w:val="1010"/>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0"/>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0"/>
        </w:numPr>
      </w:pPr>
      <w:r>
        <w:rPr>
          <w:b/>
          <w:bCs/>
        </w:rPr>
        <w:t xml:space="preserve">Post-hoc selection criteria</w:t>
      </w:r>
      <w:r>
        <w:t xml:space="preserve">: Inclusion and exclusion criteria were refined during the review process rather than pre-registered</w:t>
      </w:r>
    </w:p>
    <w:p>
      <w:pPr>
        <w:pStyle w:val="Compact"/>
        <w:numPr>
          <w:ilvl w:val="0"/>
          <w:numId w:val="1010"/>
        </w:numPr>
      </w:pPr>
      <w:r>
        <w:rPr>
          <w:b/>
          <w:bCs/>
        </w:rPr>
        <w:t xml:space="preserve">No protocol registration</w:t>
      </w:r>
      <w:r>
        <w:t xml:space="preserve">: This review was not registered in PROSPERO or similar registries</w:t>
      </w:r>
    </w:p>
    <w:p>
      <w:pPr>
        <w:pStyle w:val="Compact"/>
        <w:numPr>
          <w:ilvl w:val="0"/>
          <w:numId w:val="1010"/>
        </w:numPr>
      </w:pPr>
      <w:r>
        <w:rPr>
          <w:b/>
          <w:bCs/>
        </w:rPr>
        <w:t xml:space="preserve">Dated workforce statistics</w:t>
      </w:r>
      <w:r>
        <w:t xml:space="preserve">: The primary healthcare IT turnover statistic (34% annually) derives from Ang and Slaughter’s 2004 study [A10]. While recent surveys [I11] confirm workforce challenges persist, the specific turnover rate may no longer accurately reflect current conditions. Updated empirical research measuring contemporary healthcare IT turnover rates would strengthen this analysis</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8"/>
    <w:bookmarkEnd w:id="39"/>
    <w:bookmarkStart w:id="43" w:name="framework-development-and-validation"/>
    <w:p>
      <w:pPr>
        <w:pStyle w:val="Heading1"/>
      </w:pPr>
      <w:r>
        <w:rPr>
          <w:rStyle w:val="SectionNumber"/>
        </w:rPr>
        <w:t xml:space="preserve">4</w:t>
      </w:r>
      <w:r>
        <w:tab/>
      </w:r>
      <w:r>
        <w:t xml:space="preserve">Framework Development and Validation</w:t>
      </w:r>
    </w:p>
    <w:p>
      <w:pPr>
        <w:pStyle w:val="FirstParagraph"/>
      </w:pPr>
      <w:r>
        <w:t xml:space="preserve">This paper’s primary contribution is the three-pillar analytical framework for understanding healthcare analytics challenges. This section documents the framework’s development process and theoretical grounding.</w:t>
      </w:r>
    </w:p>
    <w:bookmarkStart w:id="40" w:name="framework-development-process"/>
    <w:p>
      <w:pPr>
        <w:pStyle w:val="Heading2"/>
      </w:pPr>
      <w:r>
        <w:rPr>
          <w:rStyle w:val="SectionNumber"/>
        </w:rPr>
        <w:t xml:space="preserve">4.1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nursing turnover meta-analyses,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1"/>
        </w:numPr>
      </w:pPr>
      <w:r>
        <w:rPr>
          <w:b/>
          <w:bCs/>
        </w:rPr>
        <w:t xml:space="preserve">Theme Extraction</w:t>
      </w:r>
      <w:r>
        <w:t xml:space="preserve">: Systematic coding of 41 sources identified recurring themes across technical, organizational, and workforce dimensions</w:t>
      </w:r>
    </w:p>
    <w:p>
      <w:pPr>
        <w:pStyle w:val="Compact"/>
        <w:numPr>
          <w:ilvl w:val="0"/>
          <w:numId w:val="1011"/>
        </w:numPr>
      </w:pPr>
      <w:r>
        <w:rPr>
          <w:b/>
          <w:bCs/>
        </w:rPr>
        <w:t xml:space="preserve">Pattern Recognition</w:t>
      </w:r>
      <w:r>
        <w:t xml:space="preserve">: Cross-domain analysis revealed that challenges in each dimension amplified challenges in others (e.g., workforce turnover degrading analytics maturity, technical barriers preventing knowledge capture)</w:t>
      </w:r>
    </w:p>
    <w:p>
      <w:pPr>
        <w:pStyle w:val="Compact"/>
        <w:numPr>
          <w:ilvl w:val="0"/>
          <w:numId w:val="1011"/>
        </w:numPr>
      </w:pPr>
      <w:r>
        <w:rPr>
          <w:b/>
          <w:bCs/>
        </w:rPr>
        <w:t xml:space="preserve">Pillar Identification</w:t>
      </w:r>
      <w:r>
        <w:t xml:space="preserve">: Three orthogonal yet interconnected dimensions emerged as the organizing structure:</w:t>
      </w:r>
    </w:p>
    <w:p>
      <w:pPr>
        <w:pStyle w:val="Compact"/>
        <w:numPr>
          <w:ilvl w:val="1"/>
          <w:numId w:val="1012"/>
        </w:numPr>
      </w:pPr>
      <w:r>
        <w:rPr>
          <w:b/>
          <w:bCs/>
        </w:rPr>
        <w:t xml:space="preserve">Analytics Maturity</w:t>
      </w:r>
      <w:r>
        <w:t xml:space="preserve">: Organizational capability progression measured against HIMSS AMAM stages</w:t>
      </w:r>
    </w:p>
    <w:p>
      <w:pPr>
        <w:pStyle w:val="Compact"/>
        <w:numPr>
          <w:ilvl w:val="1"/>
          <w:numId w:val="1012"/>
        </w:numPr>
      </w:pPr>
      <w:r>
        <w:rPr>
          <w:b/>
          <w:bCs/>
        </w:rPr>
        <w:t xml:space="preserve">Workforce Dynamics</w:t>
      </w:r>
      <w:r>
        <w:t xml:space="preserve">: Human capital retention and tacit knowledge preservation</w:t>
      </w:r>
    </w:p>
    <w:p>
      <w:pPr>
        <w:pStyle w:val="Compact"/>
        <w:numPr>
          <w:ilvl w:val="1"/>
          <w:numId w:val="1012"/>
        </w:numPr>
      </w:pPr>
      <w:r>
        <w:rPr>
          <w:b/>
          <w:bCs/>
        </w:rPr>
        <w:t xml:space="preserve">Technical Barriers</w:t>
      </w:r>
      <w:r>
        <w:t xml:space="preserve">: NL2SQL capabilities and healthcare-specific implementation challenges</w:t>
      </w:r>
    </w:p>
    <w:p>
      <w:pPr>
        <w:pStyle w:val="Compact"/>
        <w:numPr>
          <w:ilvl w:val="0"/>
          <w:numId w:val="1011"/>
        </w:numPr>
      </w:pPr>
      <w:r>
        <w:rPr>
          <w:b/>
          <w:bCs/>
        </w:rPr>
        <w:t xml:space="preserve">Framework Validation</w:t>
      </w:r>
      <w:r>
        <w:t xml:space="preserve">: Pillar structure tested against all 41 sources to confirm comprehensive coverage without significant gaps</w:t>
      </w:r>
    </w:p>
    <w:bookmarkEnd w:id="40"/>
    <w:bookmarkStart w:id="41" w:name="theoretical-grounding"/>
    <w:p>
      <w:pPr>
        <w:pStyle w:val="Heading2"/>
      </w:pPr>
      <w:r>
        <w:rPr>
          <w:rStyle w:val="SectionNumber"/>
        </w:rPr>
        <w:t xml:space="preserve">4.2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rPr>
          <w:b/>
          <w:bCs/>
        </w:rPr>
        <w:t xml:space="preserve">Table 3: Framework Alignment with Established Models</w:t>
      </w:r>
    </w:p>
    <w:tbl>
      <w:tblPr>
        <w:tblStyle w:val="Table"/>
        <w:tblW w:type="pct" w:w="5000"/>
        <w:jc w:val="left"/>
        <w:tblLayout w:type="fixed"/>
        <w:tblLook w:firstRow="1" w:lastRow="0" w:firstColumn="0" w:lastColumn="0" w:noHBand="0" w:noVBand="0" w:val="0020"/>
      </w:tblPr>
      <w:tblGrid>
        <w:gridCol w:w="1584"/>
        <w:gridCol w:w="2323"/>
        <w:gridCol w:w="1689"/>
        <w:gridCol w:w="2323"/>
      </w:tblGrid>
      <w:tr>
        <w:trPr>
          <w:tblHeader w:val="on"/>
        </w:trPr>
        <w:tc>
          <w:tcPr/>
          <w:p>
            <w:pPr>
              <w:pStyle w:val="Compact"/>
              <w:jc w:val="left"/>
            </w:pPr>
            <w:r>
              <w:t xml:space="preserve">Three Pillars</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 Information</w:t>
            </w:r>
          </w:p>
        </w:tc>
        <w:tc>
          <w:tcPr/>
          <w:p>
            <w:pPr>
              <w:pStyle w:val="Compact"/>
              <w:jc w:val="left"/>
            </w:pPr>
            <w:r>
              <w:t xml:space="preserve">Organizational learning</w:t>
            </w:r>
          </w:p>
        </w:tc>
      </w:tr>
      <w:tr>
        <w:tc>
          <w:tcPr/>
          <w:p>
            <w:pPr>
              <w:pStyle w:val="Compact"/>
              <w:jc w:val="left"/>
            </w:pPr>
            <w:r>
              <w:t xml:space="preserve">Workforce Dynamics</w:t>
            </w:r>
          </w:p>
        </w:tc>
        <w:tc>
          <w:tcPr/>
          <w:p>
            <w:pPr>
              <w:pStyle w:val="Compact"/>
              <w:jc w:val="left"/>
            </w:pPr>
            <w:r>
              <w:t xml:space="preserve">Implicit in advanced stages</w:t>
            </w:r>
          </w:p>
        </w:tc>
        <w:tc>
          <w:tcPr/>
          <w:p>
            <w:pPr>
              <w:pStyle w:val="Compact"/>
              <w:jc w:val="left"/>
            </w:pPr>
            <w:r>
              <w:t xml:space="preserve">Knowledge (tacit) → Wisdom</w:t>
            </w:r>
          </w:p>
        </w:tc>
        <w:tc>
          <w:tcPr/>
          <w:p>
            <w:pPr>
              <w:pStyle w:val="Compact"/>
              <w:jc w:val="left"/>
            </w:pPr>
            <w:r>
              <w:t xml:space="preserve">Tacit knowledge transfer</w:t>
            </w:r>
          </w:p>
        </w:tc>
      </w:tr>
      <w:tr>
        <w:tc>
          <w:tcPr/>
          <w:p>
            <w:pPr>
              <w:pStyle w:val="Compact"/>
              <w:jc w:val="left"/>
            </w:pPr>
            <w:r>
              <w:t xml:space="preserve">Technical Barriers</w:t>
            </w:r>
          </w:p>
        </w:tc>
        <w:tc>
          <w:tcPr/>
          <w:p>
            <w:pPr>
              <w:pStyle w:val="Compact"/>
              <w:jc w:val="left"/>
            </w:pPr>
            <w:r>
              <w:t xml:space="preserve">Stage 6-7 requirements</w:t>
            </w:r>
          </w:p>
        </w:tc>
        <w:tc>
          <w:tcPr/>
          <w:p>
            <w:pPr>
              <w:pStyle w:val="Compact"/>
              <w:jc w:val="left"/>
            </w:pPr>
            <w:r>
              <w:t xml:space="preserve">Information → Knowledge</w:t>
            </w:r>
          </w:p>
        </w:tc>
        <w:tc>
          <w:tcPr/>
          <w:p>
            <w:pPr>
              <w:pStyle w:val="Compact"/>
              <w:jc w:val="left"/>
            </w:pPr>
            <w:r>
              <w:t xml:space="preserve">Knowledge codification</w:t>
            </w:r>
          </w:p>
        </w:tc>
      </w:tr>
    </w:tbl>
    <w:p>
      <w:pPr>
        <w:pStyle w:val="BodyText"/>
      </w:pPr>
      <w:r>
        <w:t xml:space="preserve">The HIMSS Analytics Maturity Assessment Model [I1] 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1"/>
    <w:bookmarkStart w:id="42" w:name="framework-scope-and-limitations"/>
    <w:p>
      <w:pPr>
        <w:pStyle w:val="Heading2"/>
      </w:pPr>
      <w:r>
        <w:rPr>
          <w:rStyle w:val="SectionNumber"/>
        </w:rPr>
        <w:t xml:space="preserve">4.3</w:t>
      </w:r>
      <w:r>
        <w:tab/>
      </w:r>
      <w:r>
        <w:t xml:space="preserve">Framework Scope and Limitations</w:t>
      </w:r>
    </w:p>
    <w:p>
      <w:pPr>
        <w:pStyle w:val="FirstParagraph"/>
      </w:pPr>
      <w:r>
        <w:t xml:space="preserve">The framework is descriptive rather than prescriptive—it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2"/>
    <w:bookmarkEnd w:id="43"/>
    <w:bookmarkStart w:id="68" w:name="X85f1c6778b7ce1289d057c0d7f7b4fecbd614f8"/>
    <w:p>
      <w:pPr>
        <w:pStyle w:val="Heading1"/>
      </w:pPr>
      <w:r>
        <w:rPr>
          <w:rStyle w:val="SectionNumber"/>
        </w:rPr>
        <w:t xml:space="preserve">5</w:t>
      </w:r>
      <w:r>
        <w:tab/>
      </w:r>
      <w:r>
        <w:t xml:space="preserve">Literature Review: Natural Language Analytics in Healthcare - Evidence for Institutional Memory Preservation</w:t>
      </w:r>
    </w:p>
    <w:p>
      <w:pPr>
        <w:pStyle w:val="FirstParagraph"/>
      </w:pPr>
      <w:r>
        <w:t xml:space="preserve">This narrative review examines evidence supporting the implementation of natural language analytics platforms in healthcare systems. Drawing from peer-reviewed research, industry reports, and benchmark datasets identified through the methodology described in the previous section, we synthesize findings across three domains. Analysis reveals three critical findings: (1) natural language to SQL generation has evolved significantly but faces healthcare-specific challenges requiring specialized solutions, (2) healthcare analytics maturity remains critically low with most organizations struggling at basic stages, and (3) healthcare workforce turnover creates institutional memory loss that traditional approaches fail to address. The evidence strongly supports conversational AI platforms as a solution to these interconnected challenges.</w:t>
      </w:r>
    </w:p>
    <w:bookmarkStart w:id="47" w:name="X79e53be5adb6b9863f8ca49c43cb7059ea634a1"/>
    <w:p>
      <w:pPr>
        <w:pStyle w:val="Heading2"/>
      </w:pPr>
      <w:r>
        <w:rPr>
          <w:rStyle w:val="SectionNumber"/>
        </w:rPr>
        <w:t xml:space="preserve">5.1</w:t>
      </w:r>
      <w:r>
        <w:tab/>
      </w:r>
      <w:r>
        <w:t xml:space="preserve">1. Current State of Natural Language to SQL Generation</w:t>
      </w:r>
    </w:p>
    <w:bookmarkStart w:id="44" w:name="evolution-and-technical-advances"/>
    <w:p>
      <w:pPr>
        <w:pStyle w:val="Heading3"/>
      </w:pPr>
      <w:r>
        <w:rPr>
          <w:rStyle w:val="SectionNumber"/>
        </w:rPr>
        <w:t xml:space="preserve">5.1.1</w:t>
      </w:r>
      <w:r>
        <w:tab/>
      </w:r>
      <w:r>
        <w:t xml:space="preserve">Evolution and Technical Advances</w:t>
      </w:r>
    </w:p>
    <w:p>
      <w:pPr>
        <w:pStyle w:val="FirstParagraph"/>
      </w:pPr>
      <w:r>
        <w:t xml:space="preserve">Recent systematic reviews document the rapid evolution of natural language to SQL (NL2SQL) technologies. Ziletti and D’Ambrosi [A6] 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Their work on the MIMIC-3 dataset shows that integrating medical coding steps into the text-to-SQL process improves performance over simple prompting approaches.</w:t>
      </w:r>
    </w:p>
    <w:p>
      <w:pPr>
        <w:pStyle w:val="BodyText"/>
      </w:pPr>
      <w:r>
        <w:t xml:space="preserve">Recent benchmarking studies [A8, A9] examining LLM-based systems for healthcare identify unique challenges: medical terminology, characterized by abbreviations, synonyms, and context-dependent meanings, remains a barrier to accurate query generation. Evaluations of state-of-the-art LLMs including GPT-4 and Claude 3.5 show that even top-performing models achieve only 69-73% accuracy on clinical tasks, with significant gaps remaining between benchmark performance and real clinical readiness.</w:t>
      </w:r>
    </w:p>
    <w:bookmarkEnd w:id="44"/>
    <w:bookmarkStart w:id="45" w:name="healthcare-specific-challenges"/>
    <w:p>
      <w:pPr>
        <w:pStyle w:val="Heading3"/>
      </w:pPr>
      <w:r>
        <w:rPr>
          <w:rStyle w:val="SectionNumber"/>
        </w:rPr>
        <w:t xml:space="preserve">5.1.2</w:t>
      </w:r>
      <w:r>
        <w:tab/>
      </w:r>
      <w:r>
        <w:t xml:space="preserve">Healthcare-Specific Challenges</w:t>
      </w:r>
    </w:p>
    <w:p>
      <w:pPr>
        <w:pStyle w:val="FirstParagraph"/>
      </w:pPr>
      <w:r>
        <w:t xml:space="preserve">The literature consistently identifies domain-specific obstacles in healthcare NL2SQL implementation. A systematic review of NLP in EHRs [A4] 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 [A5] 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5"/>
    <w:bookmarkStart w:id="46" w:name="promising-approaches-and-limitations"/>
    <w:p>
      <w:pPr>
        <w:pStyle w:val="Heading3"/>
      </w:pPr>
      <w:r>
        <w:rPr>
          <w:rStyle w:val="SectionNumber"/>
        </w:rPr>
        <w:t xml:space="preserve">5.1.3</w:t>
      </w:r>
      <w:r>
        <w:tab/>
      </w:r>
      <w:r>
        <w:t xml:space="preserve">Promising Approaches and Limitations</w:t>
      </w:r>
    </w:p>
    <w:p>
      <w:pPr>
        <w:pStyle w:val="FirstParagraph"/>
      </w:pPr>
      <w:r>
        <w:t xml:space="preserve">Recent advances show promise in addressing these challenges. The TREQS/MIMICSQL dataset development [A5] and EHRSQL benchmark [A3] provide question-SQL pairs specifically for healthcare, featuring questions in natural, free-form language. This approach acknowledges that healthcare queries often require multiple logical steps: population selection, temporal relationships, aggregation statistics, and mathematical operations.</w:t>
      </w:r>
    </w:p>
    <w:p>
      <w:pPr>
        <w:pStyle w:val="BodyText"/>
      </w:pPr>
      <w:r>
        <w:t xml:space="preserve">However, significant limitations persist. Benchmarking studies [A8, A9] conclude that while LLMs show capability in healthcare tasks, most models struggle with complex clinical reasoning. The MedAgentBench evaluation found even the best-performing model (Claude 3.5 Sonnet) achieved only 69.67% success rate on medical agent tasks, highlighting the gap between current capabilities and clinical readiness.</w:t>
      </w:r>
    </w:p>
    <w:bookmarkEnd w:id="46"/>
    <w:bookmarkEnd w:id="47"/>
    <w:bookmarkStart w:id="51" w:name="state-of-healthcare-analytics-maturity"/>
    <w:p>
      <w:pPr>
        <w:pStyle w:val="Heading2"/>
      </w:pPr>
      <w:r>
        <w:rPr>
          <w:rStyle w:val="SectionNumber"/>
        </w:rPr>
        <w:t xml:space="preserve">5.2</w:t>
      </w:r>
      <w:r>
        <w:tab/>
      </w:r>
      <w:r>
        <w:t xml:space="preserve">2. State of Healthcare Analytics Maturity</w:t>
      </w:r>
    </w:p>
    <w:bookmarkStart w:id="48" w:name="low-organizational-maturity"/>
    <w:p>
      <w:pPr>
        <w:pStyle w:val="Heading3"/>
      </w:pPr>
      <w:r>
        <w:rPr>
          <w:rStyle w:val="SectionNumber"/>
        </w:rPr>
        <w:t xml:space="preserve">5.2.1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 [I1]. The newly revised AMAM24 model, launched in October 2024, represents a significant evolution from the original framework.</w:t>
      </w:r>
    </w:p>
    <w:p>
      <w:pPr>
        <w:pStyle w:val="BodyText"/>
      </w:pPr>
      <w:r>
        <w:t xml:space="preserve">Snowdon [I2],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 [A14]. Research confirms healthcare’s adoption of analytics often lags behind other sectors such as retail and banking, partly due to the complexity of implementing new technology in clinical environments. The newly revised AMAM model shifts focus from technical capabilities to outcomes, measuring the real impact of analytics on patient care, system-wide operations, and governance.</w:t>
      </w:r>
    </w:p>
    <w:bookmarkEnd w:id="48"/>
    <w:bookmarkStart w:id="49" w:name="barriers-to-analytics-adoption"/>
    <w:p>
      <w:pPr>
        <w:pStyle w:val="Heading3"/>
      </w:pPr>
      <w:r>
        <w:rPr>
          <w:rStyle w:val="SectionNumber"/>
        </w:rPr>
        <w:t xml:space="preserve">5.2.2</w:t>
      </w:r>
      <w:r>
        <w:tab/>
      </w:r>
      <w:r>
        <w:t xml:space="preserve">Barriers to Analytics Adoption</w:t>
      </w:r>
    </w:p>
    <w:p>
      <w:pPr>
        <w:pStyle w:val="FirstParagraph"/>
      </w:pPr>
      <w:r>
        <w:t xml:space="preserve">A systematic literature review of big data analytics in healthcare by Kamble et al. [A7] published in the International Journal of Healthcare Management 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 [I3], a vendor-produced framework, corroborates these findings, documenting that most healthcare organizations remain at Stages 0-3, characterized by:</w:t>
      </w:r>
    </w:p>
    <w:p>
      <w:pPr>
        <w:pStyle w:val="Compact"/>
        <w:numPr>
          <w:ilvl w:val="0"/>
          <w:numId w:val="1013"/>
        </w:numPr>
      </w:pPr>
      <w:r>
        <w:t xml:space="preserve">Fragmented data sources without integration</w:t>
      </w:r>
    </w:p>
    <w:p>
      <w:pPr>
        <w:pStyle w:val="Compact"/>
        <w:numPr>
          <w:ilvl w:val="0"/>
          <w:numId w:val="1013"/>
        </w:numPr>
      </w:pPr>
      <w:r>
        <w:t xml:space="preserve">Limited automated reporting capabilities</w:t>
      </w:r>
    </w:p>
    <w:p>
      <w:pPr>
        <w:pStyle w:val="Compact"/>
        <w:numPr>
          <w:ilvl w:val="0"/>
          <w:numId w:val="1013"/>
        </w:numPr>
      </w:pPr>
      <w:r>
        <w:t xml:space="preserve">Lack of standardized data governance</w:t>
      </w:r>
    </w:p>
    <w:p>
      <w:pPr>
        <w:pStyle w:val="Compact"/>
        <w:numPr>
          <w:ilvl w:val="0"/>
          <w:numId w:val="1013"/>
        </w:numPr>
      </w:pPr>
      <w:r>
        <w:t xml:space="preserve">Minimal predictive or prescriptive analytics</w:t>
      </w:r>
    </w:p>
    <w:p>
      <w:pPr>
        <w:pStyle w:val="Compact"/>
        <w:numPr>
          <w:ilvl w:val="0"/>
          <w:numId w:val="1013"/>
        </w:numPr>
      </w:pPr>
      <w:r>
        <w:t xml:space="preserve">Absence of real-time decision support</w:t>
      </w:r>
    </w:p>
    <w:bookmarkEnd w:id="49"/>
    <w:bookmarkStart w:id="50" w:name="the-analytics-skills-gap"/>
    <w:p>
      <w:pPr>
        <w:pStyle w:val="Heading3"/>
      </w:pPr>
      <w:r>
        <w:rPr>
          <w:rStyle w:val="SectionNumber"/>
        </w:rPr>
        <w:t xml:space="preserve">5.2.3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 [A4]. There is an acknowledged problem in health services where organizations cannot make good use of available data due to a deficit in skilled analysts across all sectors and levels [A15]. Organizations face critical challenges in recruiting and retaining professionals with the right analytical skills, while the need for big data specialists with analytical capabilities continues to grow [A16]. Traditional approaches to analytics require extensive technical expertise that healthcare professionals typically lack, creating a fundamental barrier to analytics adoption [I11].</w:t>
      </w:r>
    </w:p>
    <w:bookmarkEnd w:id="50"/>
    <w:bookmarkEnd w:id="51"/>
    <w:bookmarkStart w:id="55" w:name="X033aaa01add75caa19416ed7b909f71ff5bd76d"/>
    <w:p>
      <w:pPr>
        <w:pStyle w:val="Heading2"/>
      </w:pPr>
      <w:r>
        <w:rPr>
          <w:rStyle w:val="SectionNumber"/>
        </w:rPr>
        <w:t xml:space="preserve">5.3</w:t>
      </w:r>
      <w:r>
        <w:tab/>
      </w:r>
      <w:r>
        <w:t xml:space="preserve">3. Healthcare Workforce Turnover and Knowledge Loss</w:t>
      </w:r>
    </w:p>
    <w:bookmarkStart w:id="52" w:name="turnover-rates-and-financial-impact"/>
    <w:p>
      <w:pPr>
        <w:pStyle w:val="Heading3"/>
      </w:pPr>
      <w:r>
        <w:rPr>
          <w:rStyle w:val="SectionNumber"/>
        </w:rPr>
        <w:t xml:space="preserve">5.3.1</w:t>
      </w:r>
      <w:r>
        <w:tab/>
      </w:r>
      <w:r>
        <w:t xml:space="preserve">Turnover Rates and Financial Impact</w:t>
      </w:r>
    </w:p>
    <w:p>
      <w:pPr>
        <w:pStyle w:val="FirstParagraph"/>
      </w:pPr>
      <w:r>
        <w:t xml:space="preserve">Multiple meta-analyses provide comprehensive data on healthcare workforce turnover. Wu et al. [A1] found a pooled prevalence of nurse turnover at 18% (95% CI: 11-26%), with rates varying from 11.7% to 46.7% across different countries and settings. Ren et al. [A2] corroborated these findings with a global nurse turnover rate ranging from 8% to 36.6%, with a pooled rate of 16% (95% CI: 14-17%).</w:t>
      </w:r>
    </w:p>
    <w:p>
      <w:pPr>
        <w:pStyle w:val="BodyText"/>
      </w:pPr>
      <w:r>
        <w:t xml:space="preserve">The financial implications are substantial. Massingham [A24] measured the impact of knowledge loss in a longitudinal study, finding that the total financial cost to address problems caused by knowledge loss reached three times the organization’s annual salary budget, including increased training costs, productivity losses, and project delays. Vendor analysis from Oracle [I6] corroborates these findings, documenting turnover costs at 0.5-2.0 times annual salary with knowledge-intensive positions reaching the higher end.</w:t>
      </w:r>
    </w:p>
    <w:p>
      <w:pPr>
        <w:pStyle w:val="BodyText"/>
      </w:pPr>
      <w:r>
        <w:t xml:space="preserve">Technical and analytics staff face even more severe turnover challenges. In their 2004 study, Ang and Slaughter [A10] found that IT professionals at healthcare provider institutions—where IT serves as a support function rather than core business—had average tenure of just 2.9 years, implying annual turnover of 34% (calculated as 1/2.9 years), the highest rate among all IT organization types studied at that time. This compared unfavorably to the 9.68-year average for IT managerial positions overall. While this data is now two decades old, recent surveys confirm workforce challenges persist: the 2023 AHIMA/NORC workforce survey found that 66% of health information professionals report persistent staffing shortages, with 83% witnessing increased unfilled positions over the past year [I11].</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 [A11]. International Medical Informatics Association recommendations specify a minimum of 1 year (60 ECTS credits) for biomedical and health informatics specialists [A12], with personalized EHR training programs requiring 6 months of blended instruction to achieve meaningful competency improvements [A13]. Combined with the 2.9-year average tenure, healthcare IT professionals may operate at full productivity for only approximately two years before departing—creating a perpetual cycle where organizations lose experienced staff before fully recouping their training investment.</w:t>
      </w:r>
    </w:p>
    <w:bookmarkEnd w:id="52"/>
    <w:bookmarkStart w:id="53" w:name="institutional-memory-loss"/>
    <w:p>
      <w:pPr>
        <w:pStyle w:val="Heading3"/>
      </w:pPr>
      <w:r>
        <w:rPr>
          <w:rStyle w:val="SectionNumber"/>
        </w:rPr>
        <w:t xml:space="preserve">5.3.2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 [A17].</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bookmarkEnd w:id="53"/>
    <w:bookmarkStart w:id="54" w:name="traditional-approaches-inadequate"/>
    <w:p>
      <w:pPr>
        <w:pStyle w:val="Heading3"/>
      </w:pPr>
      <w:r>
        <w:rPr>
          <w:rStyle w:val="SectionNumber"/>
        </w:rPr>
        <w:t xml:space="preserve">5.3.3</w:t>
      </w:r>
      <w:r>
        <w:tab/>
      </w:r>
      <w:r>
        <w:t xml:space="preserve">Traditional Approaches Inadequate</w:t>
      </w:r>
    </w:p>
    <w:p>
      <w:pPr>
        <w:pStyle w:val="FirstParagraph"/>
      </w:pPr>
      <w:r>
        <w:t xml:space="preserve">The literature demonstrates that conventional knowledge management approaches fail in healthcare contexts [A17, A18]:</w:t>
      </w:r>
    </w:p>
    <w:p>
      <w:pPr>
        <w:pStyle w:val="Compact"/>
        <w:numPr>
          <w:ilvl w:val="0"/>
          <w:numId w:val="1014"/>
        </w:numPr>
      </w:pPr>
      <w:r>
        <w:t xml:space="preserve">Traditional knowledge transfer mechanisms show limited effectiveness</w:t>
      </w:r>
    </w:p>
    <w:p>
      <w:pPr>
        <w:pStyle w:val="Compact"/>
        <w:numPr>
          <w:ilvl w:val="0"/>
          <w:numId w:val="1014"/>
        </w:numPr>
      </w:pPr>
      <w:r>
        <w:t xml:space="preserve">Organizations struggle to capture and maintain analytical expertise</w:t>
      </w:r>
    </w:p>
    <w:p>
      <w:pPr>
        <w:pStyle w:val="Compact"/>
        <w:numPr>
          <w:ilvl w:val="0"/>
          <w:numId w:val="1014"/>
        </w:numPr>
      </w:pPr>
      <w:r>
        <w:t xml:space="preserve">Security concerns and employee resistance to change slow the pace of information system acceptance [A18]</w:t>
      </w:r>
    </w:p>
    <w:p>
      <w:pPr>
        <w:pStyle w:val="Compact"/>
        <w:numPr>
          <w:ilvl w:val="0"/>
          <w:numId w:val="1014"/>
        </w:numPr>
      </w:pPr>
      <w:r>
        <w:t xml:space="preserve">Person-to-person knowledge transfer fails during rapid turnover cycles</w:t>
      </w:r>
    </w:p>
    <w:bookmarkEnd w:id="54"/>
    <w:bookmarkEnd w:id="55"/>
    <w:bookmarkStart w:id="59" w:name="X4fcdb465b5d130fc136a191f4ad96d06b004362"/>
    <w:p>
      <w:pPr>
        <w:pStyle w:val="Heading2"/>
      </w:pPr>
      <w:r>
        <w:rPr>
          <w:rStyle w:val="SectionNumber"/>
        </w:rPr>
        <w:t xml:space="preserve">5.4</w:t>
      </w:r>
      <w:r>
        <w:tab/>
      </w:r>
      <w:r>
        <w:t xml:space="preserve">4. Integration of Evidence: The Case for Conversational AI</w:t>
      </w:r>
    </w:p>
    <w:bookmarkStart w:id="56" w:name="bridging-technical-and-domain-expertise"/>
    <w:p>
      <w:pPr>
        <w:pStyle w:val="Heading3"/>
      </w:pPr>
      <w:r>
        <w:rPr>
          <w:rStyle w:val="SectionNumber"/>
        </w:rPr>
        <w:t xml:space="preserve">5.4.1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creates a compelling case for conversational AI platforms in healthcare analytics.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and conversational platforms in healthcare have demonstrated significant improvements in accessibility. These platforms enable non-technical users to perform complex analyses previously requiring data scientist intervention, bridging the gap between clinical expertise and technical capability.</w:t>
      </w:r>
    </w:p>
    <w:bookmarkEnd w:id="56"/>
    <w:bookmarkStart w:id="57" w:name="knowledge-preservation-mechanisms"/>
    <w:p>
      <w:pPr>
        <w:pStyle w:val="Heading3"/>
      </w:pPr>
      <w:r>
        <w:rPr>
          <w:rStyle w:val="SectionNumber"/>
        </w:rPr>
        <w:t xml:space="preserve">5.4.2</w:t>
      </w:r>
      <w:r>
        <w:tab/>
      </w:r>
      <w:r>
        <w:t xml:space="preserve">Knowledge Preservation Mechanisms</w:t>
      </w:r>
    </w:p>
    <w:p>
      <w:pPr>
        <w:pStyle w:val="FirstParagraph"/>
      </w:pPr>
      <w:r>
        <w:t xml:space="preserve">The literature suggests that effective knowledge preservation requires active, embedded systems rather than passive documentation. AI-based platforms can serve as organizational memory systems by:</w:t>
      </w:r>
    </w:p>
    <w:p>
      <w:pPr>
        <w:pStyle w:val="Compact"/>
        <w:numPr>
          <w:ilvl w:val="0"/>
          <w:numId w:val="1015"/>
        </w:numPr>
      </w:pPr>
      <w:r>
        <w:t xml:space="preserve">Capturing decision-making patterns through usage</w:t>
      </w:r>
    </w:p>
    <w:p>
      <w:pPr>
        <w:pStyle w:val="Compact"/>
        <w:numPr>
          <w:ilvl w:val="0"/>
          <w:numId w:val="1015"/>
        </w:numPr>
      </w:pPr>
      <w:r>
        <w:t xml:space="preserve">Encoding best practices in accessible formats</w:t>
      </w:r>
    </w:p>
    <w:p>
      <w:pPr>
        <w:pStyle w:val="Compact"/>
        <w:numPr>
          <w:ilvl w:val="0"/>
          <w:numId w:val="1015"/>
        </w:numPr>
      </w:pPr>
      <w:r>
        <w:t xml:space="preserve">Providing context-aware guidance to new users</w:t>
      </w:r>
    </w:p>
    <w:p>
      <w:pPr>
        <w:pStyle w:val="Compact"/>
        <w:numPr>
          <w:ilvl w:val="0"/>
          <w:numId w:val="1015"/>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7"/>
    <w:bookmarkStart w:id="58" w:name="X6d083e238594fa23b80808bd7cfd83ad906b4ff"/>
    <w:p>
      <w:pPr>
        <w:pStyle w:val="Heading3"/>
      </w:pPr>
      <w:r>
        <w:rPr>
          <w:rStyle w:val="SectionNumber"/>
        </w:rPr>
        <w:t xml:space="preserve">5.4.3</w:t>
      </w:r>
      <w:r>
        <w:tab/>
      </w:r>
      <w:r>
        <w:t xml:space="preserve">Empirical Support for Low-Code Healthcare Solutions</w:t>
      </w:r>
    </w:p>
    <w:p>
      <w:pPr>
        <w:pStyle w:val="FirstParagraph"/>
      </w:pPr>
      <w:r>
        <w:t xml:space="preserve">Academic research provides growing evidence for low-code and AI-driven approaches in healthcare. Sezgin et al. [A19] demonstrated that GPT-3-powered chatbots can reduce overhead at clinics, while Jiao et al. [A20] found AI adoption leads to cost savings through improved service delivery and shorter hospitalization lengths. Dai and Abramoff [A21] explain that AI generates predictions affordably, enabling earlier care that potentially prevents costly interventions.</w:t>
      </w:r>
    </w:p>
    <w:p>
      <w:pPr>
        <w:pStyle w:val="BodyText"/>
      </w:pPr>
      <w:r>
        <w:t xml:space="preserve">Industry implementations provide additional validation. Berkshire Healthcare NHS Trust [I4] reports over 800</w:t>
      </w:r>
      <w:r>
        <w:t xml:space="preserve"> </w:t>
      </w:r>
      <w:r>
        <w:t xml:space="preserve">“</w:t>
      </w:r>
      <w:r>
        <w:t xml:space="preserve">citizen developers</w:t>
      </w:r>
      <w:r>
        <w:t xml:space="preserve">”</w:t>
      </w:r>
      <w:r>
        <w:t xml:space="preserve"> </w:t>
      </w:r>
      <w:r>
        <w:t xml:space="preserve">(and over 1,600 total users) now creating solutions using Microsoft Power Platform. The NHS program demonstrates that healthcare professionals without IT expertise can use low-code tools to create custom solutions and apps, streamlining operations and enabling data-driven decisions. Industry-sponsored research from Forrester [I5] projects 206% three-year ROI from low-code implementations, though these figures should be interpreted with caution given vendor sponsorship.</w:t>
      </w:r>
    </w:p>
    <w:p>
      <w:pPr>
        <w:pStyle w:val="BodyText"/>
      </w:pPr>
      <w:r>
        <w:t xml:space="preserve">Healthcare-specific studies show concrete benefits: Pennington [A22] found AI in revenue cycle management accelerated payment cycles from 90 days to 40 days, while Atobatele et al. [A23] documented how low-code platforms enable non-technical staff to build applications, leading to efficiency gains.</w:t>
      </w:r>
    </w:p>
    <w:bookmarkEnd w:id="58"/>
    <w:bookmarkEnd w:id="59"/>
    <w:bookmarkStart w:id="63" w:name="Xe532debb859e62ad2038db373f15ff8608a8c3a"/>
    <w:p>
      <w:pPr>
        <w:pStyle w:val="Heading2"/>
      </w:pPr>
      <w:r>
        <w:rPr>
          <w:rStyle w:val="SectionNumber"/>
        </w:rPr>
        <w:t xml:space="preserve">5.5</w:t>
      </w:r>
      <w:r>
        <w:tab/>
      </w:r>
      <w:r>
        <w:t xml:space="preserve">5. Implications for Healthcare Organizations</w:t>
      </w:r>
    </w:p>
    <w:bookmarkStart w:id="60" w:name="strategic-alignment-with-industry-trends"/>
    <w:p>
      <w:pPr>
        <w:pStyle w:val="Heading3"/>
      </w:pPr>
      <w:r>
        <w:rPr>
          <w:rStyle w:val="SectionNumber"/>
        </w:rPr>
        <w:t xml:space="preserve">5.5.1</w:t>
      </w:r>
      <w:r>
        <w:tab/>
      </w:r>
      <w:r>
        <w:t xml:space="preserve">Strategic Alignment with Industry Trends</w:t>
      </w:r>
    </w:p>
    <w:p>
      <w:pPr>
        <w:pStyle w:val="FirstParagraph"/>
      </w:pPr>
      <w:r>
        <w:t xml:space="preserve">The literature reveals clear alignment between conversational AI platforms and healthcare industry trajectories. The revised HIMSS AMAM model [I1] explicitly emphasizes AI readiness and governance frameworks that natural language platforms inherently support. Organizations implementing such platforms can advance multiple maturity stages simultaneously by democratizing analytics while maintaining governance.</w:t>
      </w:r>
    </w:p>
    <w:bookmarkEnd w:id="60"/>
    <w:bookmarkStart w:id="61" w:name="return-on-investment-evidence"/>
    <w:p>
      <w:pPr>
        <w:pStyle w:val="Heading3"/>
      </w:pPr>
      <w:r>
        <w:rPr>
          <w:rStyle w:val="SectionNumber"/>
        </w:rPr>
        <w:t xml:space="preserve">5.5.2</w:t>
      </w:r>
      <w:r>
        <w:tab/>
      </w:r>
      <w:r>
        <w:t xml:space="preserve">Return on Investment Evidence</w:t>
      </w:r>
    </w:p>
    <w:p>
      <w:pPr>
        <w:pStyle w:val="FirstParagraph"/>
      </w:pPr>
      <w:r>
        <w:t xml:space="preserve">Academic research documents multiple pathways to ROI for low-code and conversational AI implementations. Jiao et al. [A20] found that AI-driven efficiency gains, including shorter hospitalization lengths, translate into financial and operational benefits for healthcare providers. Pennington [A22] documented that AI in revenue cycle management accelerated payment cycles from 90 to 40 days, improving cash flow. Sezgin et al. [A19] proposed chatbot implementations that reduce clinic overhead.</w:t>
      </w:r>
    </w:p>
    <w:p>
      <w:pPr>
        <w:pStyle w:val="BodyText"/>
      </w:pPr>
      <w:r>
        <w:t xml:space="preserve">Industry-sponsored research from Forrester [I5] projects 206% three-year ROI from Power Platform implementations; however, these figures should be interpreted cautiously given vendor sponsorship. Market research supports continued investment: Precedence Research [I7] projects the healthcare analytics market to grow from $64.49 billion in 2025 to $369.66 billion by 2034 (21.41% CAGR), driven by demand for accessible analytics solutions.</w:t>
      </w:r>
    </w:p>
    <w:bookmarkEnd w:id="61"/>
    <w:bookmarkStart w:id="62" w:name="Xe6fa002d43c62898b44d68560b42a19c9fcb56d"/>
    <w:p>
      <w:pPr>
        <w:pStyle w:val="Heading3"/>
      </w:pPr>
      <w:r>
        <w:rPr>
          <w:rStyle w:val="SectionNumber"/>
        </w:rPr>
        <w:t xml:space="preserve">5.5.3</w:t>
      </w:r>
      <w:r>
        <w:tab/>
      </w:r>
      <w:r>
        <w:t xml:space="preserve">Risk Mitigation Through Knowledge Preservation</w:t>
      </w:r>
    </w:p>
    <w:p>
      <w:pPr>
        <w:pStyle w:val="FirstParagraph"/>
      </w:pPr>
      <w:r>
        <w:t xml:space="preserve">The literature emphasizes that institutional memory loss represents an existential risk to healthcare analytics programs. Conversational AI platforms mitigate this risk by transforming tacit knowledge into encoded, accessible expertise. This approach aligns with best practices for embedding organizational knowledge in systems rather than individuals, ensuring continuity despite workforce turnover.</w:t>
      </w:r>
    </w:p>
    <w:bookmarkEnd w:id="62"/>
    <w:bookmarkEnd w:id="63"/>
    <w:bookmarkStart w:id="64" w:name="gaps-in-current-literature"/>
    <w:p>
      <w:pPr>
        <w:pStyle w:val="Heading2"/>
      </w:pPr>
      <w:r>
        <w:rPr>
          <w:rStyle w:val="SectionNumber"/>
        </w:rPr>
        <w:t xml:space="preserve">5.6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6"/>
        </w:numPr>
      </w:pPr>
      <w:r>
        <w:rPr>
          <w:b/>
          <w:bCs/>
        </w:rPr>
        <w:t xml:space="preserve">Long-term outcomes</w:t>
      </w:r>
      <w:r>
        <w:t xml:space="preserve">: Most studies examine 6-24 month implementations; multi-year impacts remain understudied</w:t>
      </w:r>
    </w:p>
    <w:p>
      <w:pPr>
        <w:pStyle w:val="Compact"/>
        <w:numPr>
          <w:ilvl w:val="0"/>
          <w:numId w:val="1016"/>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6"/>
        </w:numPr>
      </w:pPr>
      <w:r>
        <w:rPr>
          <w:b/>
          <w:bCs/>
        </w:rPr>
        <w:t xml:space="preserve">Governance frameworks</w:t>
      </w:r>
      <w:r>
        <w:t xml:space="preserve">: Limited research on optimal governance models for democratized analytics</w:t>
      </w:r>
    </w:p>
    <w:p>
      <w:pPr>
        <w:pStyle w:val="Compact"/>
        <w:numPr>
          <w:ilvl w:val="0"/>
          <w:numId w:val="1016"/>
        </w:numPr>
      </w:pPr>
      <w:r>
        <w:rPr>
          <w:b/>
          <w:bCs/>
        </w:rPr>
        <w:t xml:space="preserve">Training methodologies</w:t>
      </w:r>
      <w:r>
        <w:t xml:space="preserve">: Best practices for transitioning from traditional to conversational analytics lack empirical validation</w:t>
      </w:r>
    </w:p>
    <w:p>
      <w:pPr>
        <w:pStyle w:val="Compact"/>
        <w:numPr>
          <w:ilvl w:val="0"/>
          <w:numId w:val="1016"/>
        </w:numPr>
      </w:pPr>
      <w:r>
        <w:rPr>
          <w:b/>
          <w:bCs/>
        </w:rPr>
        <w:t xml:space="preserve">Integration patterns</w:t>
      </w:r>
      <w:r>
        <w:t xml:space="preserve">: Architectural guidance for incorporating conversational AI into existing healthcare IT ecosystems remains sparse</w:t>
      </w:r>
    </w:p>
    <w:bookmarkEnd w:id="64"/>
    <w:bookmarkStart w:id="67" w:name="why-the-problem-persists"/>
    <w:p>
      <w:pPr>
        <w:pStyle w:val="Heading2"/>
      </w:pPr>
      <w:r>
        <w:rPr>
          <w:rStyle w:val="SectionNumber"/>
        </w:rPr>
        <w:t xml:space="preserve">5.7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5" w:name="failed-standardization-approaches"/>
    <w:p>
      <w:pPr>
        <w:pStyle w:val="Heading3"/>
      </w:pPr>
      <w:r>
        <w:rPr>
          <w:rStyle w:val="SectionNumber"/>
        </w:rPr>
        <w:t xml:space="preserve">5.7.1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 [A26].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 [A27].</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 [A28]. At the institutional level, data fragmentation across different organizations creates barriers to linkage, access, and care continuity, while governance issues including unclear responsibilities and weak collaboration compound the problem [A29].</w:t>
      </w:r>
    </w:p>
    <w:p>
      <w:pPr>
        <w:pStyle w:val="BodyText"/>
      </w:pPr>
      <w:r>
        <w:t xml:space="preserve">High-profile industry events illustrate these documented challenges. IBM divested its Watson Health data and analytics assets in 2022 [I9], and the Haven healthcare venture—backed by Amazon, Berkshire Hathaway, and JPMorgan Chase—disbanded in 2021 after three years [I10].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5"/>
    <w:bookmarkStart w:id="66" w:name="deployment-constraint-mismatch"/>
    <w:p>
      <w:pPr>
        <w:pStyle w:val="Heading3"/>
      </w:pPr>
      <w:r>
        <w:rPr>
          <w:rStyle w:val="SectionNumber"/>
        </w:rPr>
        <w:t xml:space="preserve">5.7.2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6"/>
    <w:bookmarkEnd w:id="67"/>
    <w:bookmarkEnd w:id="68"/>
    <w:bookmarkStart w:id="89" w:name="discussion"/>
    <w:p>
      <w:pPr>
        <w:pStyle w:val="Heading1"/>
      </w:pPr>
      <w:r>
        <w:rPr>
          <w:rStyle w:val="SectionNumber"/>
        </w:rPr>
        <w:t xml:space="preserve">6</w:t>
      </w:r>
      <w:r>
        <w:tab/>
      </w:r>
      <w:r>
        <w:t xml:space="preserve">Discussion</w:t>
      </w:r>
    </w:p>
    <w:bookmarkStart w:id="74" w:name="strengths-of-the-evidence-base"/>
    <w:p>
      <w:pPr>
        <w:pStyle w:val="Heading2"/>
      </w:pPr>
      <w:r>
        <w:rPr>
          <w:rStyle w:val="SectionNumber"/>
        </w:rPr>
        <w:t xml:space="preserve">6.1</w:t>
      </w:r>
      <w:r>
        <w:tab/>
      </w:r>
      <w:r>
        <w:t xml:space="preserve">Strengths of the Evidence Base</w:t>
      </w:r>
    </w:p>
    <w:p>
      <w:pPr>
        <w:pStyle w:val="FirstParagraph"/>
      </w:pPr>
      <w:r>
        <w:t xml:space="preserve">The research presents several compelling strengths that support the adoption of conversational AI platforms in healthcare analytics:</w:t>
      </w:r>
    </w:p>
    <w:bookmarkStart w:id="69" w:name="validated-benchmarking-data"/>
    <w:p>
      <w:pPr>
        <w:pStyle w:val="Heading3"/>
      </w:pPr>
      <w:r>
        <w:rPr>
          <w:rStyle w:val="SectionNumber"/>
        </w:rPr>
        <w:t xml:space="preserve">6.1.1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 [A8] and comprehensive medical LLM evaluations [A9] offer reproducible, quantitative performance metrics.</w:t>
      </w:r>
    </w:p>
    <w:bookmarkEnd w:id="69"/>
    <w:bookmarkStart w:id="70" w:name="real-world-implementation-evidence"/>
    <w:p>
      <w:pPr>
        <w:pStyle w:val="Heading3"/>
      </w:pPr>
      <w:r>
        <w:rPr>
          <w:rStyle w:val="SectionNumber"/>
        </w:rPr>
        <w:t xml:space="preserve">6.1.2</w:t>
      </w:r>
      <w:r>
        <w:tab/>
      </w:r>
      <w:r>
        <w:t xml:space="preserve">Real-World Implementation Evidence</w:t>
      </w:r>
    </w:p>
    <w:p>
      <w:pPr>
        <w:pStyle w:val="FirstParagraph"/>
      </w:pPr>
      <w:r>
        <w:t xml:space="preserve">The Berkshire Healthcare NHS Trust case [I4] demonstrates successful low-code adoption in healthcare, with over 800 citizen developers creating solutions. This provides concrete evidence that non-technical healthcare professionals can effectively use these platforms.</w:t>
      </w:r>
    </w:p>
    <w:bookmarkEnd w:id="70"/>
    <w:bookmarkStart w:id="71" w:name="X4bdb3f96981e95785fd307c52a030d26fb6f97c"/>
    <w:p>
      <w:pPr>
        <w:pStyle w:val="Heading3"/>
      </w:pPr>
      <w:r>
        <w:rPr>
          <w:rStyle w:val="SectionNumber"/>
        </w:rPr>
        <w:t xml:space="preserve">6.1.3</w:t>
      </w:r>
      <w:r>
        <w:tab/>
      </w:r>
      <w:r>
        <w:t xml:space="preserve">Addresses Multiple Challenges Simultaneously</w:t>
      </w:r>
    </w:p>
    <w:p>
      <w:pPr>
        <w:pStyle w:val="FirstParagraph"/>
      </w:pPr>
      <w:r>
        <w:t xml:space="preserve">Unlike point solutions that address individual problems, conversational AI platforms simultaneously tackle technical barriers, analytics maturity constraints, and institutional memory loss. This integrated approach enables healthcare organizations to advance multiple capability areas with a single strategic investment.</w:t>
      </w:r>
    </w:p>
    <w:bookmarkEnd w:id="71"/>
    <w:bookmarkStart w:id="72" w:name="strong-economic-justification"/>
    <w:p>
      <w:pPr>
        <w:pStyle w:val="Heading3"/>
      </w:pPr>
      <w:r>
        <w:rPr>
          <w:rStyle w:val="SectionNumber"/>
        </w:rPr>
        <w:t xml:space="preserve">6.1.4</w:t>
      </w:r>
      <w:r>
        <w:tab/>
      </w:r>
      <w:r>
        <w:t xml:space="preserve">Strong Economic Justification</w:t>
      </w:r>
    </w:p>
    <w:p>
      <w:pPr>
        <w:pStyle w:val="FirstParagraph"/>
      </w:pPr>
      <w:r>
        <w:t xml:space="preserve">The financial evidence is compelling, with Forrester Research [I5] documenting 206% three-year ROI from low-code implementations. Market growth projections [I7] showing the healthcare analytics market expanding from $64.49B to $369.66B by 2034 indicate sustained investment demand.</w:t>
      </w:r>
    </w:p>
    <w:bookmarkEnd w:id="72"/>
    <w:bookmarkStart w:id="73" w:name="honest-assessment-of-limitations"/>
    <w:p>
      <w:pPr>
        <w:pStyle w:val="Heading3"/>
      </w:pPr>
      <w:r>
        <w:rPr>
          <w:rStyle w:val="SectionNumber"/>
        </w:rPr>
        <w:t xml:space="preserve">6.1.5</w:t>
      </w:r>
      <w:r>
        <w:tab/>
      </w:r>
      <w:r>
        <w:t xml:space="preserve">Honest Assessment of Limitations</w:t>
      </w:r>
    </w:p>
    <w:p>
      <w:pPr>
        <w:pStyle w:val="FirstParagraph"/>
      </w:pPr>
      <w:r>
        <w:t xml:space="preserve">The evidence base includes important caveats. Ziletti and D’Ambrosi [A6] 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 [A9, A10] show significant gaps between benchmark performance and clinical readiness. This honest assessment enables appropriate implementation strategies.</w:t>
      </w:r>
    </w:p>
    <w:bookmarkEnd w:id="73"/>
    <w:bookmarkEnd w:id="74"/>
    <w:bookmarkStart w:id="81" w:name="limitations-and-constraints"/>
    <w:p>
      <w:pPr>
        <w:pStyle w:val="Heading2"/>
      </w:pPr>
      <w:r>
        <w:rPr>
          <w:rStyle w:val="SectionNumber"/>
        </w:rPr>
        <w:t xml:space="preserve">6.2</w:t>
      </w:r>
      <w:r>
        <w:tab/>
      </w:r>
      <w:r>
        <w:t xml:space="preserve">Limitations and Constraints</w:t>
      </w:r>
    </w:p>
    <w:p>
      <w:pPr>
        <w:pStyle w:val="FirstParagraph"/>
      </w:pPr>
      <w:r>
        <w:t xml:space="preserve">Despite strong evidence supporting conversational AI adoption, several limitations must be acknowledged:</w:t>
      </w:r>
    </w:p>
    <w:bookmarkStart w:id="75" w:name="implementation-complexity"/>
    <w:p>
      <w:pPr>
        <w:pStyle w:val="Heading3"/>
      </w:pPr>
      <w:r>
        <w:rPr>
          <w:rStyle w:val="SectionNumber"/>
        </w:rPr>
        <w:t xml:space="preserve">6.2.1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 [I8].</w:t>
      </w:r>
    </w:p>
    <w:bookmarkEnd w:id="75"/>
    <w:bookmarkStart w:id="76" w:name="X45f8c7a46a04784e9744b636e11bc2977732e83"/>
    <w:p>
      <w:pPr>
        <w:pStyle w:val="Heading3"/>
      </w:pPr>
      <w:r>
        <w:rPr>
          <w:rStyle w:val="SectionNumber"/>
        </w:rPr>
        <w:t xml:space="preserve">6.2.2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6"/>
    <w:bookmarkStart w:id="77" w:name="long-term-outcome-uncertainties"/>
    <w:p>
      <w:pPr>
        <w:pStyle w:val="Heading3"/>
      </w:pPr>
      <w:r>
        <w:rPr>
          <w:rStyle w:val="SectionNumber"/>
        </w:rPr>
        <w:t xml:space="preserve">6.2.3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7"/>
    <w:bookmarkStart w:id="78" w:name="X2274a69eeb0cb360e25f4a0c6de53a1a41ef3b2"/>
    <w:p>
      <w:pPr>
        <w:pStyle w:val="Heading3"/>
      </w:pPr>
      <w:r>
        <w:rPr>
          <w:rStyle w:val="SectionNumber"/>
        </w:rPr>
        <w:t xml:space="preserve">6.2.4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8"/>
    <w:bookmarkStart w:id="79" w:name="specialty-specific-application-gaps"/>
    <w:p>
      <w:pPr>
        <w:pStyle w:val="Heading3"/>
      </w:pPr>
      <w:r>
        <w:rPr>
          <w:rStyle w:val="SectionNumber"/>
        </w:rPr>
        <w:t xml:space="preserve">6.2.5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79"/>
    <w:bookmarkStart w:id="80" w:name="methodological-considerations"/>
    <w:p>
      <w:pPr>
        <w:pStyle w:val="Heading3"/>
      </w:pPr>
      <w:r>
        <w:rPr>
          <w:rStyle w:val="SectionNumber"/>
        </w:rPr>
        <w:t xml:space="preserve">6.2.6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0"/>
    <w:bookmarkEnd w:id="81"/>
    <w:bookmarkStart w:id="85" w:name="future-research-directions"/>
    <w:p>
      <w:pPr>
        <w:pStyle w:val="Heading2"/>
      </w:pPr>
      <w:r>
        <w:rPr>
          <w:rStyle w:val="SectionNumber"/>
        </w:rPr>
        <w:t xml:space="preserve">6.3</w:t>
      </w:r>
      <w:r>
        <w:tab/>
      </w:r>
      <w:r>
        <w:t xml:space="preserve">Future Research Directions</w:t>
      </w:r>
    </w:p>
    <w:p>
      <w:pPr>
        <w:pStyle w:val="FirstParagraph"/>
      </w:pPr>
      <w:r>
        <w:t xml:space="preserve">The evidence review identifies several priority areas for future investigation:</w:t>
      </w:r>
    </w:p>
    <w:bookmarkStart w:id="82" w:name="short-term-research-priorities-1-year"/>
    <w:p>
      <w:pPr>
        <w:pStyle w:val="Heading3"/>
      </w:pPr>
      <w:r>
        <w:rPr>
          <w:rStyle w:val="SectionNumber"/>
        </w:rPr>
        <w:t xml:space="preserve">6.3.1</w:t>
      </w:r>
      <w:r>
        <w:tab/>
      </w:r>
      <w:r>
        <w:t xml:space="preserve">Short-Term Research Priorities (&lt;1 year)</w:t>
      </w:r>
    </w:p>
    <w:p>
      <w:pPr>
        <w:pStyle w:val="Compact"/>
        <w:numPr>
          <w:ilvl w:val="0"/>
          <w:numId w:val="1017"/>
        </w:numPr>
      </w:pPr>
      <w:r>
        <w:rPr>
          <w:b/>
          <w:bCs/>
        </w:rPr>
        <w:t xml:space="preserve">Specialty Domain Validation</w:t>
      </w:r>
      <w:r>
        <w:t xml:space="preserve">: Empirical studies in specialized clinical areas to validate generalizability</w:t>
      </w:r>
    </w:p>
    <w:p>
      <w:pPr>
        <w:pStyle w:val="Compact"/>
        <w:numPr>
          <w:ilvl w:val="0"/>
          <w:numId w:val="1017"/>
        </w:numPr>
      </w:pPr>
      <w:r>
        <w:rPr>
          <w:b/>
          <w:bCs/>
        </w:rPr>
        <w:t xml:space="preserve">Governance Framework Development</w:t>
      </w:r>
      <w:r>
        <w:t xml:space="preserve">: Research on optimal governance models for democratized analytics</w:t>
      </w:r>
    </w:p>
    <w:p>
      <w:pPr>
        <w:pStyle w:val="Compact"/>
        <w:numPr>
          <w:ilvl w:val="0"/>
          <w:numId w:val="1017"/>
        </w:numPr>
      </w:pPr>
      <w:r>
        <w:rPr>
          <w:b/>
          <w:bCs/>
        </w:rPr>
        <w:t xml:space="preserve">Integration Pattern Analysis</w:t>
      </w:r>
      <w:r>
        <w:t xml:space="preserve">: Technical research on architectural patterns for healthcare IT ecosystem integration</w:t>
      </w:r>
    </w:p>
    <w:bookmarkEnd w:id="82"/>
    <w:bookmarkStart w:id="83" w:name="X7d60b5f2cd724c2ff27fb462003d9a6f0f38ecc"/>
    <w:p>
      <w:pPr>
        <w:pStyle w:val="Heading3"/>
      </w:pPr>
      <w:r>
        <w:rPr>
          <w:rStyle w:val="SectionNumber"/>
        </w:rPr>
        <w:t xml:space="preserve">6.3.2</w:t>
      </w:r>
      <w:r>
        <w:tab/>
      </w:r>
      <w:r>
        <w:t xml:space="preserve">Medium-Term Research Priorities (1-2 years)</w:t>
      </w:r>
    </w:p>
    <w:p>
      <w:pPr>
        <w:pStyle w:val="Compact"/>
        <w:numPr>
          <w:ilvl w:val="0"/>
          <w:numId w:val="1018"/>
        </w:numPr>
      </w:pPr>
      <w:r>
        <w:rPr>
          <w:b/>
          <w:bCs/>
        </w:rPr>
        <w:t xml:space="preserve">Longitudinal Outcome Studies</w:t>
      </w:r>
      <w:r>
        <w:t xml:space="preserve">: Multi-year implementations to assess sustained benefits and organizational evolution</w:t>
      </w:r>
    </w:p>
    <w:p>
      <w:pPr>
        <w:pStyle w:val="Compact"/>
        <w:numPr>
          <w:ilvl w:val="0"/>
          <w:numId w:val="1018"/>
        </w:numPr>
      </w:pPr>
      <w:r>
        <w:rPr>
          <w:b/>
          <w:bCs/>
        </w:rPr>
        <w:t xml:space="preserve">Comparative Effectiveness Research</w:t>
      </w:r>
      <w:r>
        <w:t xml:space="preserve">: Head-to-head comparisons of different conversational AI approaches</w:t>
      </w:r>
    </w:p>
    <w:p>
      <w:pPr>
        <w:pStyle w:val="Compact"/>
        <w:numPr>
          <w:ilvl w:val="0"/>
          <w:numId w:val="1018"/>
        </w:numPr>
      </w:pPr>
      <w:r>
        <w:rPr>
          <w:b/>
          <w:bCs/>
        </w:rPr>
        <w:t xml:space="preserve">Training Methodology Optimization</w:t>
      </w:r>
      <w:r>
        <w:t xml:space="preserve">: Evidence-based approaches for transitioning from traditional to conversational analytics</w:t>
      </w:r>
    </w:p>
    <w:bookmarkEnd w:id="83"/>
    <w:bookmarkStart w:id="84" w:name="long-term-research-priorities-2-years"/>
    <w:p>
      <w:pPr>
        <w:pStyle w:val="Heading3"/>
      </w:pPr>
      <w:r>
        <w:rPr>
          <w:rStyle w:val="SectionNumber"/>
        </w:rPr>
        <w:t xml:space="preserve">6.3.3</w:t>
      </w:r>
      <w:r>
        <w:tab/>
      </w:r>
      <w:r>
        <w:t xml:space="preserve">Long-Term Research Priorities (&gt;2 years)</w:t>
      </w:r>
    </w:p>
    <w:p>
      <w:pPr>
        <w:pStyle w:val="Compact"/>
        <w:numPr>
          <w:ilvl w:val="0"/>
          <w:numId w:val="1019"/>
        </w:numPr>
      </w:pPr>
      <w:r>
        <w:rPr>
          <w:b/>
          <w:bCs/>
        </w:rPr>
        <w:t xml:space="preserve">Organizational Transformation Studies</w:t>
      </w:r>
      <w:r>
        <w:t xml:space="preserve">: Research on how conversational AI platforms reshape healthcare organizational capabilities</w:t>
      </w:r>
    </w:p>
    <w:p>
      <w:pPr>
        <w:pStyle w:val="Compact"/>
        <w:numPr>
          <w:ilvl w:val="0"/>
          <w:numId w:val="1019"/>
        </w:numPr>
      </w:pPr>
      <w:r>
        <w:rPr>
          <w:b/>
          <w:bCs/>
        </w:rPr>
        <w:t xml:space="preserve">Clinical Outcome Impact Assessment</w:t>
      </w:r>
      <w:r>
        <w:t xml:space="preserve">: Studies linking improved analytics access to patient care outcomes</w:t>
      </w:r>
    </w:p>
    <w:p>
      <w:pPr>
        <w:pStyle w:val="Compact"/>
        <w:numPr>
          <w:ilvl w:val="0"/>
          <w:numId w:val="1019"/>
        </w:numPr>
      </w:pPr>
      <w:r>
        <w:rPr>
          <w:b/>
          <w:bCs/>
        </w:rPr>
        <w:t xml:space="preserve">Predictive Analytics Integration</w:t>
      </w:r>
      <w:r>
        <w:t xml:space="preserve">: Research on combining conversational interfaces with advanced predictive modeling</w:t>
      </w:r>
    </w:p>
    <w:bookmarkEnd w:id="84"/>
    <w:bookmarkEnd w:id="85"/>
    <w:bookmarkStart w:id="88" w:name="X655f7faf8ada965dcdcaa0e7f463cb4a3ee5bd1"/>
    <w:p>
      <w:pPr>
        <w:pStyle w:val="Heading2"/>
      </w:pPr>
      <w:r>
        <w:rPr>
          <w:rStyle w:val="SectionNumber"/>
        </w:rPr>
        <w:t xml:space="preserve">6.4</w:t>
      </w:r>
      <w:r>
        <w:tab/>
      </w:r>
      <w:r>
        <w:t xml:space="preserve">Implications for Healthcare Organizations</w:t>
      </w:r>
    </w:p>
    <w:p>
      <w:pPr>
        <w:pStyle w:val="FirstParagraph"/>
      </w:pPr>
      <w:r>
        <w:t xml:space="preserve">The evidence has implications for healthcare leaders considering analytics strategy:</w:t>
      </w:r>
    </w:p>
    <w:bookmarkStart w:id="86" w:name="X2f23efe7d260cae22651f913590ba1e30f02493"/>
    <w:p>
      <w:pPr>
        <w:pStyle w:val="Heading3"/>
      </w:pPr>
      <w:r>
        <w:rPr>
          <w:rStyle w:val="SectionNumber"/>
        </w:rPr>
        <w:t xml:space="preserve">6.4.1</w:t>
      </w:r>
      <w:r>
        <w:tab/>
      </w:r>
      <w:r>
        <w:t xml:space="preserve">Organizational Assessment Using the Three-Pillar Framework</w:t>
      </w:r>
    </w:p>
    <w:p>
      <w:pPr>
        <w:pStyle w:val="FirstParagraph"/>
      </w:pPr>
      <w:r>
        <w:t xml:space="preserve">The three-pillar framework provides a structured approach for organizational self-assessment:</w:t>
      </w:r>
    </w:p>
    <w:p>
      <w:pPr>
        <w:pStyle w:val="Compact"/>
        <w:numPr>
          <w:ilvl w:val="0"/>
          <w:numId w:val="1020"/>
        </w:numPr>
      </w:pPr>
      <w:r>
        <w:rPr>
          <w:b/>
          <w:bCs/>
        </w:rPr>
        <w:t xml:space="preserve">Analytics Maturity Assessment</w:t>
      </w:r>
      <w:r>
        <w:t xml:space="preserve">: Where does the organization currently stand on the HIMSS AMAM scale? What capabilities are needed to advance?</w:t>
      </w:r>
    </w:p>
    <w:p>
      <w:pPr>
        <w:pStyle w:val="Compact"/>
        <w:numPr>
          <w:ilvl w:val="0"/>
          <w:numId w:val="1020"/>
        </w:numPr>
      </w:pPr>
      <w:r>
        <w:rPr>
          <w:b/>
          <w:bCs/>
        </w:rPr>
        <w:t xml:space="preserve">Workforce Knowledge Audit</w:t>
      </w:r>
      <w:r>
        <w:t xml:space="preserve">: What tacit knowledge resides with individual staff members? How vulnerable is the organization to knowledge loss through turnover?</w:t>
      </w:r>
    </w:p>
    <w:p>
      <w:pPr>
        <w:pStyle w:val="Compact"/>
        <w:numPr>
          <w:ilvl w:val="0"/>
          <w:numId w:val="1020"/>
        </w:numPr>
      </w:pPr>
      <w:r>
        <w:rPr>
          <w:b/>
          <w:bCs/>
        </w:rPr>
        <w:t xml:space="preserve">Technical Barrier Inventory</w:t>
      </w:r>
      <w:r>
        <w:t xml:space="preserve">: What technical skills are currently required for data access? Which clinical questions go unanswered due to technical barriers?</w:t>
      </w:r>
    </w:p>
    <w:bookmarkEnd w:id="86"/>
    <w:bookmarkStart w:id="87" w:name="implementation-considerations"/>
    <w:p>
      <w:pPr>
        <w:pStyle w:val="Heading3"/>
      </w:pPr>
      <w:r>
        <w:rPr>
          <w:rStyle w:val="SectionNumber"/>
        </w:rPr>
        <w:t xml:space="preserve">6.4.2</w:t>
      </w:r>
      <w:r>
        <w:tab/>
      </w:r>
      <w:r>
        <w:t xml:space="preserve">Implementation Considerations</w:t>
      </w:r>
    </w:p>
    <w:p>
      <w:pPr>
        <w:pStyle w:val="FirstParagraph"/>
      </w:pPr>
      <w:r>
        <w:t xml:space="preserve">Evidence from healthcare implementations suggests several factors influence success:</w:t>
      </w:r>
    </w:p>
    <w:p>
      <w:pPr>
        <w:pStyle w:val="Compact"/>
        <w:numPr>
          <w:ilvl w:val="0"/>
          <w:numId w:val="1021"/>
        </w:numPr>
      </w:pPr>
      <w:r>
        <w:rPr>
          <w:b/>
          <w:bCs/>
        </w:rPr>
        <w:t xml:space="preserve">Governance Framework Development</w:t>
      </w:r>
      <w:r>
        <w:t xml:space="preserve">: New policies and procedures for democratized analytics</w:t>
      </w:r>
    </w:p>
    <w:p>
      <w:pPr>
        <w:pStyle w:val="Compact"/>
        <w:numPr>
          <w:ilvl w:val="0"/>
          <w:numId w:val="1021"/>
        </w:numPr>
      </w:pPr>
      <w:r>
        <w:rPr>
          <w:b/>
          <w:bCs/>
        </w:rPr>
        <w:t xml:space="preserve">Change Management</w:t>
      </w:r>
      <w:r>
        <w:t xml:space="preserve">: Training and support programs to ensure user adoption</w:t>
      </w:r>
    </w:p>
    <w:p>
      <w:pPr>
        <w:pStyle w:val="Compact"/>
        <w:numPr>
          <w:ilvl w:val="0"/>
          <w:numId w:val="1021"/>
        </w:numPr>
      </w:pPr>
      <w:r>
        <w:rPr>
          <w:b/>
          <w:bCs/>
        </w:rPr>
        <w:t xml:space="preserve">Phased Deployment</w:t>
      </w:r>
      <w:r>
        <w:t xml:space="preserve">: Gradual rollout beginning with analytics-savvy early adopters</w:t>
      </w:r>
    </w:p>
    <w:p>
      <w:pPr>
        <w:pStyle w:val="Compact"/>
        <w:numPr>
          <w:ilvl w:val="0"/>
          <w:numId w:val="1021"/>
        </w:numPr>
      </w:pPr>
      <w:r>
        <w:rPr>
          <w:b/>
          <w:bCs/>
        </w:rPr>
        <w:t xml:space="preserve">Human Oversight</w:t>
      </w:r>
      <w:r>
        <w:t xml:space="preserve">: Current NL2SQL limitations require maintaining human review of AI-generated outputs [A6]</w:t>
      </w:r>
    </w:p>
    <w:bookmarkEnd w:id="87"/>
    <w:bookmarkEnd w:id="88"/>
    <w:bookmarkEnd w:id="89"/>
    <w:bookmarkStart w:id="96" w:name="conclusion"/>
    <w:p>
      <w:pPr>
        <w:pStyle w:val="Heading1"/>
      </w:pPr>
      <w:r>
        <w:rPr>
          <w:rStyle w:val="SectionNumber"/>
        </w:rPr>
        <w:t xml:space="preserve">7</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findings illuminate a tension central to healthcare’s approach to emerging technologies—captured in the ancient principle</w:t>
      </w:r>
      <w:r>
        <w:t xml:space="preserve"> </w:t>
      </w:r>
      <w:r>
        <w:rPr>
          <w:i/>
          <w:iCs/>
        </w:rPr>
        <w:t xml:space="preserve">primum non nocere</w:t>
      </w:r>
      <w:r>
        <w:t xml:space="preserve">:</w:t>
      </w:r>
      <w:r>
        <w:t xml:space="preserve"> </w:t>
      </w:r>
      <w:r>
        <w:t xml:space="preserve">“</w:t>
      </w:r>
      <w:r>
        <w:t xml:space="preserve">First, do no harm.</w:t>
      </w:r>
      <w:r>
        <w:t xml:space="preserve">”</w:t>
      </w:r>
    </w:p>
    <w:bookmarkStart w:id="90" w:name="the-dual-dimensions-of-harm"/>
    <w:p>
      <w:pPr>
        <w:pStyle w:val="Heading2"/>
      </w:pPr>
      <w:r>
        <w:rPr>
          <w:rStyle w:val="SectionNumber"/>
        </w:rPr>
        <w:t xml:space="preserve">7.1</w:t>
      </w:r>
      <w:r>
        <w:tab/>
      </w:r>
      <w:r>
        <w:t xml:space="preserve">The Dual Dimensions of Harm</w:t>
      </w:r>
    </w:p>
    <w:p>
      <w:pPr>
        <w:pStyle w:val="FirstParagraph"/>
      </w:pPr>
      <w:r>
        <w:t xml:space="preserve">Healthcare’s traditional interpretation of</w:t>
      </w:r>
      <w:r>
        <w:t xml:space="preserve"> </w:t>
      </w:r>
      <w:r>
        <w:rPr>
          <w:i/>
          <w:iCs/>
        </w:rPr>
        <w:t xml:space="preserve">primum non nocere</w:t>
      </w:r>
      <w:r>
        <w:t xml:space="preserve"> </w:t>
      </w:r>
      <w:r>
        <w:t xml:space="preserve">counsels caution: new technologies should be thoroughly validated before clinical deployment, and governance frameworks should default to rejection until safety is established. This principle has served healthcare well, protecting patients from unproven interventions and maintaining professional standards.</w:t>
      </w:r>
    </w:p>
    <w:p>
      <w:pPr>
        <w:pStyle w:val="BodyText"/>
      </w:pPr>
      <w:r>
        <w:t xml:space="preserve">However, the evidence reviewed in this paper suggests that</w:t>
      </w:r>
      <w:r>
        <w:t xml:space="preserve"> </w:t>
      </w:r>
      <w:r>
        <w:rPr>
          <w:i/>
          <w:iCs/>
        </w:rPr>
        <w:t xml:space="preserve">primum non nocere</w:t>
      </w:r>
      <w:r>
        <w:t xml:space="preserve"> </w:t>
      </w:r>
      <w:r>
        <w:t xml:space="preserve">must be applied bidirectionally. The three-pillar analysis reveals substantial harms from</w:t>
      </w:r>
      <w:r>
        <w:t xml:space="preserve"> </w:t>
      </w:r>
      <w:r>
        <w:rPr>
          <w:b/>
          <w:bCs/>
        </w:rPr>
        <w:t xml:space="preserve">inaction</w:t>
      </w:r>
      <w:r>
        <w:t xml:space="preserve">:</w:t>
      </w:r>
    </w:p>
    <w:p>
      <w:pPr>
        <w:pStyle w:val="Compact"/>
        <w:numPr>
          <w:ilvl w:val="0"/>
          <w:numId w:val="1022"/>
        </w:numPr>
      </w:pPr>
      <w:r>
        <w:rPr>
          <w:b/>
          <w:bCs/>
        </w:rPr>
        <w:t xml:space="preserve">Analytics maturity gaps</w:t>
      </w:r>
      <w:r>
        <w:t xml:space="preserve"> </w:t>
      </w:r>
      <w:r>
        <w:t xml:space="preserve">leave clinical decisions unsupported by available data, directly impacting patient care quality and safety</w:t>
      </w:r>
    </w:p>
    <w:p>
      <w:pPr>
        <w:pStyle w:val="Compact"/>
        <w:numPr>
          <w:ilvl w:val="0"/>
          <w:numId w:val="1022"/>
        </w:numPr>
      </w:pPr>
      <w:r>
        <w:rPr>
          <w:b/>
          <w:bCs/>
        </w:rPr>
        <w:t xml:space="preserve">Workforce turnover</w:t>
      </w:r>
      <w:r>
        <w:t xml:space="preserve"> </w:t>
      </w:r>
      <w:r>
        <w:t xml:space="preserve">(34% annually for healthcare IT staff as of 2004 [A10]) causes institutional memory loss that disrupts care continuity and erodes the knowledge base essential for quality improvement</w:t>
      </w:r>
    </w:p>
    <w:p>
      <w:pPr>
        <w:pStyle w:val="Compact"/>
        <w:numPr>
          <w:ilvl w:val="0"/>
          <w:numId w:val="1022"/>
        </w:numPr>
      </w:pPr>
      <w:r>
        <w:rPr>
          <w:b/>
          <w:bCs/>
        </w:rPr>
        <w:t xml:space="preserve">Technical barriers</w:t>
      </w:r>
      <w:r>
        <w:t xml:space="preserve"> </w:t>
      </w:r>
      <w:r>
        <w:t xml:space="preserve">disconnect clinical experts from data insights, preventing evidence-based practice improvements that could benefit patients</w:t>
      </w:r>
    </w:p>
    <w:p>
      <w:pPr>
        <w:pStyle w:val="FirstParagraph"/>
      </w:pPr>
      <w:r>
        <w:t xml:space="preserve">These findings do not argue that healthcare organizations should abandon caution. Rather, they suggest that a complete application of</w:t>
      </w:r>
      <w:r>
        <w:t xml:space="preserve"> </w:t>
      </w:r>
      <w:r>
        <w:rPr>
          <w:i/>
          <w:iCs/>
        </w:rPr>
        <w:t xml:space="preserve">primum non nocere</w:t>
      </w:r>
      <w:r>
        <w:t xml:space="preserve"> </w:t>
      </w:r>
      <w:r>
        <w:t xml:space="preserve">requires evaluating</w:t>
      </w:r>
      <w:r>
        <w:t xml:space="preserve"> </w:t>
      </w:r>
      <w:r>
        <w:rPr>
          <w:b/>
          <w:bCs/>
        </w:rPr>
        <w:t xml:space="preserve">both</w:t>
      </w:r>
      <w:r>
        <w:t xml:space="preserve"> </w:t>
      </w:r>
      <w:r>
        <w:t xml:space="preserve">the risks of premature technology adoption</w:t>
      </w:r>
      <w:r>
        <w:t xml:space="preserve"> </w:t>
      </w:r>
      <w:r>
        <w:rPr>
          <w:b/>
          <w:bCs/>
        </w:rPr>
        <w:t xml:space="preserve">and</w:t>
      </w:r>
      <w:r>
        <w:t xml:space="preserve"> </w:t>
      </w:r>
      <w:r>
        <w:t xml:space="preserve">the ongoing harms of maintaining current approaches. The three-pillar framework presented in this review provides a structured approach for this dual evaluation.</w:t>
      </w:r>
    </w:p>
    <w:bookmarkEnd w:id="90"/>
    <w:bookmarkStart w:id="91" w:name="summary-of-contributions"/>
    <w:p>
      <w:pPr>
        <w:pStyle w:val="Heading2"/>
      </w:pPr>
      <w:r>
        <w:rPr>
          <w:rStyle w:val="SectionNumber"/>
        </w:rPr>
        <w:t xml:space="preserve">7.2</w:t>
      </w:r>
      <w:r>
        <w:tab/>
      </w:r>
      <w:r>
        <w:t xml:space="preserve">Summary of Contributions</w:t>
      </w:r>
    </w:p>
    <w:p>
      <w:pPr>
        <w:pStyle w:val="FirstParagraph"/>
      </w:pPr>
      <w:r>
        <w:t xml:space="preserve">This narrative review contributes to healthcare informatics scholarship through:</w:t>
      </w:r>
    </w:p>
    <w:p>
      <w:pPr>
        <w:numPr>
          <w:ilvl w:val="0"/>
          <w:numId w:val="1023"/>
        </w:numPr>
      </w:pPr>
      <w:r>
        <w:rPr>
          <w:b/>
          <w:bCs/>
        </w:rPr>
        <w:t xml:space="preserve">Novel Analytical Framework</w:t>
      </w:r>
      <w:r>
        <w:t xml:space="preserve">: The three-pillar framework synthesizes previously disconnected evidence from healthcare analytics maturity, workforce management, and natural language processing research, revealing how these challenges interconnect and compound each other.</w:t>
      </w:r>
    </w:p>
    <w:p>
      <w:pPr>
        <w:numPr>
          <w:ilvl w:val="0"/>
          <w:numId w:val="1023"/>
        </w:numPr>
      </w:pPr>
      <w:r>
        <w:rPr>
          <w:b/>
          <w:bCs/>
        </w:rPr>
        <w:t xml:space="preserve">Knowledge Portal Application</w:t>
      </w:r>
      <w:r>
        <w:t xml:space="preserve">: By applying established knowledge portal theory [A25, A26] to healthcare conversational AI, we provide a conceptual foundation for institutional memory preservation systems that embed organizational expertise within AI platforms rather than individual staff.</w:t>
      </w:r>
    </w:p>
    <w:p>
      <w:pPr>
        <w:numPr>
          <w:ilvl w:val="0"/>
          <w:numId w:val="1023"/>
        </w:numPr>
      </w:pPr>
      <w:r>
        <w:rPr>
          <w:b/>
          <w:bCs/>
        </w:rPr>
        <w:t xml:space="preserve">Convergence Thesis</w:t>
      </w:r>
      <w:r>
        <w:t xml:space="preserve">: The simultaneous occurrence of technical advances in NL2SQL, organizational analytics challenges, and workforce dynamics creates conditions requiring active organizational assessment. This convergence transforms the technology adoption question from a matter of preference to one with institutional knowledge preservation implications, warranting structured evaluation using frameworks such as the three-pillar model.</w:t>
      </w:r>
    </w:p>
    <w:bookmarkEnd w:id="91"/>
    <w:bookmarkStart w:id="92" w:name="key-findings"/>
    <w:p>
      <w:pPr>
        <w:pStyle w:val="Heading2"/>
      </w:pPr>
      <w:r>
        <w:rPr>
          <w:rStyle w:val="SectionNumber"/>
        </w:rPr>
        <w:t xml:space="preserve">7.3</w:t>
      </w:r>
      <w:r>
        <w:tab/>
      </w:r>
      <w:r>
        <w:t xml:space="preserve">Key Findings</w:t>
      </w:r>
    </w:p>
    <w:p>
      <w:pPr>
        <w:pStyle w:val="FirstParagraph"/>
      </w:pPr>
      <w:r>
        <w:t xml:space="preserve">This review of academic and industry sources establishes several critical findings:</w:t>
      </w:r>
    </w:p>
    <w:p>
      <w:pPr>
        <w:numPr>
          <w:ilvl w:val="0"/>
          <w:numId w:val="1024"/>
        </w:numPr>
      </w:pPr>
      <w:r>
        <w:rPr>
          <w:b/>
          <w:bCs/>
        </w:rPr>
        <w:t xml:space="preserve">Technical Progress with Limitations</w:t>
      </w:r>
      <w:r>
        <w:t xml:space="preserve">: Natural language to SQL technologies have advanced significantly, with healthcare-specific benchmarks [A3, A5] 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 [A6], requiring human oversight.</w:t>
      </w:r>
    </w:p>
    <w:p>
      <w:pPr>
        <w:numPr>
          <w:ilvl w:val="0"/>
          <w:numId w:val="1024"/>
        </w:numPr>
      </w:pPr>
      <w:r>
        <w:rPr>
          <w:b/>
          <w:bCs/>
        </w:rPr>
        <w:t xml:space="preserve">Organizational Need</w:t>
      </w:r>
      <w:r>
        <w:t xml:space="preserve">: Healthcare analytics maturity remains an ongoing challenge, with the revised HIMSS AMAM model [I1] emphasizing the need for AI readiness and governance frameworks. Most organizations struggle to advance beyond basic reporting levels.</w:t>
      </w:r>
    </w:p>
    <w:p>
      <w:pPr>
        <w:numPr>
          <w:ilvl w:val="0"/>
          <w:numId w:val="1024"/>
        </w:numPr>
      </w:pPr>
      <w:r>
        <w:rPr>
          <w:b/>
          <w:bCs/>
        </w:rPr>
        <w:t xml:space="preserve">Workforce Impact</w:t>
      </w:r>
      <w:r>
        <w:t xml:space="preserve">: Healthcare IT staff turnover was measured at 34% in 2004 [A10]—the highest among IT sectors at that time—and workforce challenges persist today [I11]. Knowledge loss costs can reach three times annual salary budgets [A24], creating need for knowledge preservation approaches.</w:t>
      </w:r>
    </w:p>
    <w:p>
      <w:pPr>
        <w:numPr>
          <w:ilvl w:val="0"/>
          <w:numId w:val="1024"/>
        </w:numPr>
      </w:pPr>
      <w:r>
        <w:rPr>
          <w:b/>
          <w:bCs/>
        </w:rPr>
        <w:t xml:space="preserve">Implementation Evidence</w:t>
      </w:r>
      <w:r>
        <w:t xml:space="preserve">: Real-world implementations like Berkshire Healthcare NHS Trust [I4] demonstrate that low-code platforms can enable 800+ citizen developers in healthcare settings, with academic research documenting significant efficiency improvements and cost reductions [A19, A20].</w:t>
      </w:r>
    </w:p>
    <w:bookmarkEnd w:id="92"/>
    <w:bookmarkStart w:id="93" w:name="X763cadd1601e4aaf67a245ab2df69f095516d3d"/>
    <w:p>
      <w:pPr>
        <w:pStyle w:val="Heading2"/>
      </w:pPr>
      <w:r>
        <w:rPr>
          <w:rStyle w:val="SectionNumber"/>
        </w:rPr>
        <w:t xml:space="preserve">7.4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5"/>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5"/>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[A6]), governance requirements, and implementation complexity</w:t>
      </w:r>
    </w:p>
    <w:p>
      <w:pPr>
        <w:numPr>
          <w:ilvl w:val="0"/>
          <w:numId w:val="1025"/>
        </w:numPr>
      </w:pPr>
      <w:r>
        <w:rPr>
          <w:b/>
          <w:bCs/>
        </w:rPr>
        <w:t xml:space="preserve">Apply the three-pillar framework</w:t>
      </w:r>
      <w:r>
        <w:t xml:space="preserve">: Use the analytics maturity, workforce turnover, and technical barrier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93"/>
    <w:bookmarkStart w:id="94" w:name="future-research-directions-1"/>
    <w:p>
      <w:pPr>
        <w:pStyle w:val="Heading2"/>
      </w:pPr>
      <w:r>
        <w:rPr>
          <w:rStyle w:val="SectionNumber"/>
        </w:rPr>
        <w:t xml:space="preserve">7.5</w:t>
      </w:r>
      <w:r>
        <w:tab/>
      </w:r>
      <w:r>
        <w:t xml:space="preserve">Future Research Directions</w:t>
      </w:r>
    </w:p>
    <w:p>
      <w:pPr>
        <w:pStyle w:val="FirstParagraph"/>
      </w:pPr>
      <w:r>
        <w:t xml:space="preserve">Several research gaps limit the ability to provide definitive organizational guidance:</w:t>
      </w:r>
    </w:p>
    <w:p>
      <w:pPr>
        <w:numPr>
          <w:ilvl w:val="0"/>
          <w:numId w:val="1026"/>
        </w:numPr>
      </w:pPr>
      <w:r>
        <w:rPr>
          <w:b/>
          <w:bCs/>
        </w:rPr>
        <w:t xml:space="preserve">Longitudinal outcomes</w:t>
      </w:r>
      <w:r>
        <w:t xml:space="preserve">: Most implementation studies span 6-24 months; multi-year institutional knowledge preservation effects remain understudied</w:t>
      </w:r>
    </w:p>
    <w:p>
      <w:pPr>
        <w:numPr>
          <w:ilvl w:val="0"/>
          <w:numId w:val="1026"/>
        </w:numPr>
      </w:pPr>
      <w:r>
        <w:rPr>
          <w:b/>
          <w:bCs/>
        </w:rPr>
        <w:t xml:space="preserve">Specialty-specific validation</w:t>
      </w:r>
      <w:r>
        <w:t xml:space="preserve">: Evidence primarily addresses general acute care settings; specialized clinical domains (oncology, cardiology, mental health) require targeted investigation</w:t>
      </w:r>
    </w:p>
    <w:p>
      <w:pPr>
        <w:numPr>
          <w:ilvl w:val="0"/>
          <w:numId w:val="1026"/>
        </w:numPr>
      </w:pPr>
      <w:r>
        <w:rPr>
          <w:b/>
          <w:bCs/>
        </w:rPr>
        <w:t xml:space="preserve">Governance frameworks</w:t>
      </w:r>
      <w:r>
        <w:t xml:space="preserve">: Optimal approaches for balancing analytics democratization with data quality and clinical safety standards need development</w:t>
      </w:r>
    </w:p>
    <w:p>
      <w:pPr>
        <w:numPr>
          <w:ilvl w:val="0"/>
          <w:numId w:val="1026"/>
        </w:numPr>
      </w:pPr>
      <w:r>
        <w:rPr>
          <w:b/>
          <w:bCs/>
        </w:rPr>
        <w:t xml:space="preserve">Comparative effectiveness</w:t>
      </w:r>
      <w:r>
        <w:t xml:space="preserve">: Head-to-head comparisons of different technological approaches to addressing the three-pillar challenges remain sparse</w:t>
      </w:r>
    </w:p>
    <w:bookmarkEnd w:id="94"/>
    <w:bookmarkStart w:id="95" w:name="closing-reflection"/>
    <w:p>
      <w:pPr>
        <w:pStyle w:val="Heading2"/>
      </w:pPr>
      <w:r>
        <w:rPr>
          <w:rStyle w:val="SectionNumber"/>
        </w:rPr>
        <w:t xml:space="preserve">7.6</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review—institutional memory loss, analytics capability gaps, and technical barriers to data access—merit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95"/>
    <w:bookmarkEnd w:id="96"/>
    <w:bookmarkStart w:id="97" w:name="acknowledgments"/>
    <w:p>
      <w:pPr>
        <w:pStyle w:val="Heading1"/>
      </w:pPr>
      <w:r>
        <w:rPr>
          <w:rStyle w:val="SectionNumber"/>
        </w:rPr>
        <w:t xml:space="preserve">8</w:t>
      </w:r>
      <w:r>
        <w:tab/>
      </w:r>
      <w:r>
        <w:t xml:space="preserve">Acknowledgments</w:t>
      </w:r>
    </w:p>
    <w:p>
      <w:pPr>
        <w:pStyle w:val="FirstParagraph"/>
      </w:pPr>
      <w:r>
        <w:t xml:space="preserve">This manuscript was prepared with assistance from Claude Code (Claude Opus 4.5, Anthropic). Claude Code assisted with manuscript editing and refinement, reference verification (including identification of fabricated citations that were removed per Issue #261), validation script development, and documentation workflow automation. In accordance with Nature Portfolio editorial policy, Claude does not meet authorship criteria; the author (S.T.H.) takes full responsibility for the final content, conducted the research, and verified all claims and citations. Figure 1 was created with assistance from Google Gemini, as noted in the figure caption.</w:t>
      </w:r>
    </w:p>
    <w:bookmarkEnd w:id="97"/>
    <w:bookmarkStart w:id="98" w:name="author-contributions"/>
    <w:p>
      <w:pPr>
        <w:pStyle w:val="Heading1"/>
      </w:pPr>
      <w:r>
        <w:rPr>
          <w:rStyle w:val="SectionNumber"/>
        </w:rPr>
        <w:t xml:space="preserve">9</w:t>
      </w:r>
      <w:r>
        <w:tab/>
      </w:r>
      <w:r>
        <w:t xml:space="preserve">Author Contributions</w:t>
      </w:r>
    </w:p>
    <w:p>
      <w:pPr>
        <w:pStyle w:val="FirstParagraph"/>
      </w:pPr>
      <w:r>
        <w:t xml:space="preserve">S.T.H. conceived the research, conducted the literature review, and wrote the manuscript.</w:t>
      </w:r>
    </w:p>
    <w:bookmarkEnd w:id="98"/>
    <w:bookmarkStart w:id="99" w:name="competing-interests"/>
    <w:p>
      <w:pPr>
        <w:pStyle w:val="Heading1"/>
      </w:pPr>
      <w:r>
        <w:rPr>
          <w:rStyle w:val="SectionNumber"/>
        </w:rPr>
        <w:t xml:space="preserve">10</w:t>
      </w:r>
      <w:r>
        <w:tab/>
      </w:r>
      <w:r>
        <w:t xml:space="preserve">Competing Interests</w:t>
      </w:r>
    </w:p>
    <w:p>
      <w:pPr>
        <w:pStyle w:val="FirstParagraph"/>
      </w:pPr>
      <w:r>
        <w:t xml:space="preserve">The author declares the following competing interests: Samuel T Harrold is a contract product advisor at Yuimedi Corp.,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Corp. This research was conducted independently without funding from any affiliated organization.</w:t>
      </w:r>
    </w:p>
    <w:bookmarkEnd w:id="99"/>
    <w:bookmarkStart w:id="100" w:name="data-availability"/>
    <w:p>
      <w:pPr>
        <w:pStyle w:val="Heading1"/>
      </w:pPr>
      <w:r>
        <w:rPr>
          <w:rStyle w:val="SectionNumber"/>
        </w:rPr>
        <w:t xml:space="preserve">11</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0"/>
    <w:bookmarkStart w:id="101" w:name="code-availability"/>
    <w:p>
      <w:pPr>
        <w:pStyle w:val="Heading1"/>
      </w:pPr>
      <w:r>
        <w:rPr>
          <w:rStyle w:val="SectionNumber"/>
        </w:rPr>
        <w:t xml:space="preserve">12</w:t>
      </w:r>
      <w:r>
        <w:tab/>
      </w:r>
      <w:r>
        <w:t xml:space="preserve">Code Availability</w:t>
      </w:r>
    </w:p>
    <w:p>
      <w:pPr>
        <w:pStyle w:val="FirstParagraph"/>
      </w:pPr>
      <w:r>
        <w:t xml:space="preserve">Not applicable. No custom code was developed for this research.</w:t>
      </w:r>
    </w:p>
    <w:bookmarkEnd w:id="101"/>
    <w:bookmarkStart w:id="102" w:name="funding"/>
    <w:p>
      <w:pPr>
        <w:pStyle w:val="Heading1"/>
      </w:pPr>
      <w:r>
        <w:rPr>
          <w:rStyle w:val="SectionNumber"/>
        </w:rPr>
        <w:t xml:space="preserve">13</w:t>
      </w:r>
      <w:r>
        <w:tab/>
      </w:r>
      <w:r>
        <w:t xml:space="preserve">Funding</w:t>
      </w:r>
    </w:p>
    <w:p>
      <w:pPr>
        <w:pStyle w:val="FirstParagraph"/>
      </w:pPr>
      <w:r>
        <w:t xml:space="preserve">Yuimedi provided funding for the author’s time writing and researching this manuscript.</w:t>
      </w:r>
    </w:p>
    <w:bookmarkEnd w:id="102"/>
    <w:bookmarkStart w:id="105" w:name="references"/>
    <w:p>
      <w:pPr>
        <w:pStyle w:val="Heading1"/>
      </w:pPr>
      <w:r>
        <w:rPr>
          <w:rStyle w:val="SectionNumber"/>
        </w:rPr>
        <w:t xml:space="preserve">14</w:t>
      </w:r>
      <w:r>
        <w:tab/>
      </w:r>
      <w:r>
        <w:t xml:space="preserve">References</w:t>
      </w:r>
    </w:p>
    <w:bookmarkStart w:id="103" w:name="academic-sources"/>
    <w:p>
      <w:pPr>
        <w:pStyle w:val="Heading2"/>
      </w:pPr>
      <w:r>
        <w:rPr>
          <w:rStyle w:val="SectionNumber"/>
        </w:rPr>
        <w:t xml:space="preserve">14.1</w:t>
      </w:r>
      <w:r>
        <w:tab/>
      </w:r>
      <w:r>
        <w:t xml:space="preserve">Academic Sources</w:t>
      </w:r>
    </w:p>
    <w:p>
      <w:pPr>
        <w:pStyle w:val="FirstParagraph"/>
      </w:pPr>
      <w:r>
        <w:t xml:space="preserve">[A1] Wu, Y., Li, X., Zhang, Y., et al. (2024). Worldwide prevalence and associated factors of nursing staff turnover: A systematic review and meta-analysis.</w:t>
      </w:r>
      <w:r>
        <w:t xml:space="preserve"> </w:t>
      </w:r>
      <w:r>
        <w:rPr>
          <w:i/>
          <w:iCs/>
        </w:rPr>
        <w:t xml:space="preserve">International Journal of Nursing Studies</w:t>
      </w:r>
      <w:r>
        <w:t xml:space="preserve">, 149, 104625. DOI: 10.1016/j.ijnurstu.2023.104625. https://pmc.ncbi.nlm.nih.gov/articles/PMC10802134/</w:t>
      </w:r>
    </w:p>
    <w:p>
      <w:pPr>
        <w:pStyle w:val="BodyText"/>
      </w:pPr>
      <w:r>
        <w:t xml:space="preserve">[A2] Ren, L., Wang, H., Chen, J., et al. (2024). Global prevalence of nurse turnover rates: A meta-analysis of 21 studies from 14 countries.</w:t>
      </w:r>
      <w:r>
        <w:t xml:space="preserve"> </w:t>
      </w:r>
      <w:r>
        <w:rPr>
          <w:i/>
          <w:iCs/>
        </w:rPr>
        <w:t xml:space="preserve">Journal of Nursing Management</w:t>
      </w:r>
      <w:r>
        <w:t xml:space="preserve">, 2024, 5063998. DOI: 10.1155/2024/5063998. https://pmc.ncbi.nlm.nih.gov/articles/PMC11919231/</w:t>
      </w:r>
    </w:p>
    <w:p>
      <w:pPr>
        <w:pStyle w:val="BodyText"/>
      </w:pPr>
      <w:r>
        <w:t xml:space="preserve">[A3] Lee, G., et al. (2023). EHRSQL: A practical text-to-SQL benchmark for electronic health records.</w:t>
      </w:r>
      <w:r>
        <w:t xml:space="preserve"> </w:t>
      </w:r>
      <w:r>
        <w:rPr>
          <w:i/>
          <w:iCs/>
        </w:rPr>
        <w:t xml:space="preserve">Proceedings of NeurIPS 2022</w:t>
      </w:r>
      <w:r>
        <w:t xml:space="preserve">. arXiv:2301.07695. https://arxiv.org/abs/2301.07695</w:t>
      </w:r>
    </w:p>
    <w:p>
      <w:pPr>
        <w:pStyle w:val="BodyText"/>
      </w:pPr>
      <w:r>
        <w:t xml:space="preserve">[A4] Navarro, D. F., Ijaz, K., Rezazadegan, D., Rahimi-Ardabili, H., Dras, M., Coiera, E., &amp; Berkovsky, S. (2023). Clinical named entity recognition and relation extraction using natural language processing of medical free text: A systematic review.</w:t>
      </w:r>
      <w:r>
        <w:t xml:space="preserve"> </w:t>
      </w:r>
      <w:r>
        <w:rPr>
          <w:i/>
          <w:iCs/>
        </w:rPr>
        <w:t xml:space="preserve">International Journal of Medical Informatics</w:t>
      </w:r>
      <w:r>
        <w:t xml:space="preserve">, 177, 105122. DOI: 10.1016/j.ijmedinf.2023.105122. https://www.sciencedirect.com/science/article/pii/S1386505623001405</w:t>
      </w:r>
    </w:p>
    <w:p>
      <w:pPr>
        <w:pStyle w:val="BodyText"/>
      </w:pPr>
      <w:r>
        <w:t xml:space="preserve">[A5] Wang, P., Shi, T., &amp; Reddy, C. K. (2020). Text-to-SQL generation for question answering on electronic medical records.</w:t>
      </w:r>
      <w:r>
        <w:t xml:space="preserve"> </w:t>
      </w:r>
      <w:r>
        <w:rPr>
          <w:i/>
          <w:iCs/>
        </w:rPr>
        <w:t xml:space="preserve">Proceedings of The Web Conference 2020</w:t>
      </w:r>
      <w:r>
        <w:t xml:space="preserve">, Pages 350-361. DOI: 10.1145/3366423.3380120. https://arxiv.org/abs/1908.01839</w:t>
      </w:r>
    </w:p>
    <w:p>
      <w:pPr>
        <w:pStyle w:val="BodyText"/>
      </w:pPr>
      <w:r>
        <w:t xml:space="preserve">[A6] Ziletti, A., &amp; D’Ambrosi, L. (2024). Retrieval augmented text-to-SQL generation for epidemiological question answering using electronic health records.</w:t>
      </w:r>
      <w:r>
        <w:t xml:space="preserve"> </w:t>
      </w:r>
      <w:r>
        <w:rPr>
          <w:i/>
          <w:iCs/>
        </w:rPr>
        <w:t xml:space="preserve">NAACL 2024 Clinical NLP Workshop</w:t>
      </w:r>
      <w:r>
        <w:t xml:space="preserve">. arXiv:2403.09226. https://arxiv.org/abs/2403.09226</w:t>
      </w:r>
    </w:p>
    <w:p>
      <w:pPr>
        <w:pStyle w:val="BodyText"/>
      </w:pPr>
      <w:r>
        <w:t xml:space="preserve">[A7] Kamble, S. S., Gunasekaran, A., Goswami, M., &amp; Manda, J. (2019). A systematic perspective on the applications of big data analytics in healthcare management.</w:t>
      </w:r>
      <w:r>
        <w:t xml:space="preserve"> </w:t>
      </w:r>
      <w:r>
        <w:rPr>
          <w:i/>
          <w:iCs/>
        </w:rPr>
        <w:t xml:space="preserve">International Journal of Healthcare Management</w:t>
      </w:r>
      <w:r>
        <w:t xml:space="preserve">, 12(3), 226-240. DOI: 10.1080/20479700.2018.1531606. https://www.tandfonline.com/doi/full/10.1080/20479700.2018.1531606</w:t>
      </w:r>
    </w:p>
    <w:p>
      <w:pPr>
        <w:pStyle w:val="BodyText"/>
      </w:pPr>
      <w:r>
        <w:t xml:space="preserve">[A8] MedAgentBench Study. (2024). MedAgentBench: A virtual EHR environment to benchmark medical LLM agents.</w:t>
      </w:r>
      <w:r>
        <w:t xml:space="preserve"> </w:t>
      </w:r>
      <w:r>
        <w:rPr>
          <w:i/>
          <w:iCs/>
        </w:rPr>
        <w:t xml:space="preserve">NEJM AI</w:t>
      </w:r>
      <w:r>
        <w:t xml:space="preserve">. DOI: 10.1056/AIdbp2500144. https://ai.nejm.org/doi/full/10.1056/AIdbp2500144</w:t>
      </w:r>
    </w:p>
    <w:p>
      <w:pPr>
        <w:pStyle w:val="BodyText"/>
      </w:pPr>
      <w:r>
        <w:t xml:space="preserve">[A9] Chen, Z., et al. (2024). Towards evaluating and building versatile large language models for medicine.</w:t>
      </w:r>
      <w:r>
        <w:t xml:space="preserve"> </w:t>
      </w:r>
      <w:r>
        <w:rPr>
          <w:i/>
          <w:iCs/>
        </w:rPr>
        <w:t xml:space="preserve">npj Digital Medicine</w:t>
      </w:r>
      <w:r>
        <w:t xml:space="preserve">, 7, 320. DOI: 10.1038/s41746-024-01390-4. https://www.nature.com/articles/s41746-024-01390-4</w:t>
      </w:r>
    </w:p>
    <w:p>
      <w:pPr>
        <w:pStyle w:val="BodyText"/>
      </w:pPr>
      <w:r>
        <w:t xml:space="preserve">[A10] Ang, S., &amp; Slaughter, S. (2004). Turnover of information technology professionals: The effects of internal labor market strategies.</w:t>
      </w:r>
      <w:r>
        <w:t xml:space="preserve"> </w:t>
      </w:r>
      <w:r>
        <w:rPr>
          <w:i/>
          <w:iCs/>
        </w:rPr>
        <w:t xml:space="preserve">ACM SIGMIS Database: The DATABASE for Advances in Information Systems</w:t>
      </w:r>
      <w:r>
        <w:t xml:space="preserve">, 35(3), 11-27. DOI: 10.1145/1017114.1017118. https://dl.acm.org/doi/10.1145/1017114.1017118</w:t>
      </w:r>
    </w:p>
    <w:p>
      <w:pPr>
        <w:pStyle w:val="BodyText"/>
      </w:pPr>
      <w:r>
        <w:t xml:space="preserve">[A11] Ledikwe, J. H., Reason, L. L., Burnett, S. M., Busang, L., Bodika, S., Lebelonyane, R., Ludick, S., Matshediso, E., Mawandia, S., Mmelesi, M., Sento, B., &amp; Semo, B.-W. (2013). Establishing a health information workforce: Innovation for low- and middle-income countries.</w:t>
      </w:r>
      <w:r>
        <w:t xml:space="preserve"> </w:t>
      </w:r>
      <w:r>
        <w:rPr>
          <w:i/>
          <w:iCs/>
        </w:rPr>
        <w:t xml:space="preserve">Human Resources for Health</w:t>
      </w:r>
      <w:r>
        <w:t xml:space="preserve">, 11, 35. DOI: 10.1186/1478-4491-11-35. https://human-resources-health.biomedcentral.com/articles/10.1186/1478-4491-11-35</w:t>
      </w:r>
    </w:p>
    <w:p>
      <w:pPr>
        <w:pStyle w:val="BodyText"/>
      </w:pPr>
      <w:r>
        <w:t xml:space="preserve">[A12] Mantas, J., Ammenwerth, E., Demiris, G., Hasman, A., Haux, R., Hersh, W., Hovenga, E., Lun, K. C., Marin, H., Martin-Sanchez, F., &amp; Wright, G. (2010). Recommendations of the International Medical Informatics Association (IMIA) on education in biomedical and health informatics: First revision.</w:t>
      </w:r>
      <w:r>
        <w:t xml:space="preserve"> </w:t>
      </w:r>
      <w:r>
        <w:rPr>
          <w:i/>
          <w:iCs/>
        </w:rPr>
        <w:t xml:space="preserve">Methods of Information in Medicine</w:t>
      </w:r>
      <w:r>
        <w:t xml:space="preserve">, 49(2), 105-120. DOI: 10.3414/ME5119. https://pubmed.ncbi.nlm.nih.gov/20054502/</w:t>
      </w:r>
    </w:p>
    <w:p>
      <w:pPr>
        <w:pStyle w:val="BodyText"/>
      </w:pPr>
      <w:r>
        <w:t xml:space="preserve">[A13] Musa, S., Dergaa, I., Al Shekh Yasin, R., &amp; Singh, R. (2023). The impact of training on electronic health records related knowledge, practical competencies, and staff satisfaction: A pre-post intervention study among wellness center providers in a primary health-care facility.</w:t>
      </w:r>
      <w:r>
        <w:t xml:space="preserve"> </w:t>
      </w:r>
      <w:r>
        <w:rPr>
          <w:i/>
          <w:iCs/>
        </w:rPr>
        <w:t xml:space="preserve">Journal of Multidisciplinary Healthcare</w:t>
      </w:r>
      <w:r>
        <w:t xml:space="preserve">, 16, 1551-1563. DOI: 10.2147/JMDH.S414200. https://pmc.ncbi.nlm.nih.gov/articles/PMC10243608/</w:t>
      </w:r>
    </w:p>
    <w:p>
      <w:pPr>
        <w:pStyle w:val="BodyText"/>
      </w:pPr>
      <w:r>
        <w:t xml:space="preserve">[A14] Wang, Y., Kung, L. A., &amp; Byrd, T. A. (2018). Big data analytics: Understanding its capabilities and potential benefits for healthcare organizations.</w:t>
      </w:r>
      <w:r>
        <w:t xml:space="preserve"> </w:t>
      </w:r>
      <w:r>
        <w:rPr>
          <w:i/>
          <w:iCs/>
        </w:rPr>
        <w:t xml:space="preserve">Technological Forecasting and Social Change</w:t>
      </w:r>
      <w:r>
        <w:t xml:space="preserve">, 126, 3-13. DOI: 10.1016/j.techfore.2016.08.019. https://www.sciencedirect.com/science/article/pii/S0040162516302244</w:t>
      </w:r>
    </w:p>
    <w:p>
      <w:pPr>
        <w:pStyle w:val="BodyText"/>
      </w:pPr>
      <w:r>
        <w:t xml:space="preserve">[A15] Bardsley, M. (2016). Understanding analytical capability in health care: Do we have more data than insight? The Health Foundation. https://www.health.org.uk/publications/understanding-analytical-capability-in-health-care</w:t>
      </w:r>
    </w:p>
    <w:p>
      <w:pPr>
        <w:pStyle w:val="BodyText"/>
      </w:pPr>
      <w:r>
        <w:t xml:space="preserve">[A16] Pesqueira, A., Sousa, M. J., &amp; Rocha, Á. (2020). Big data skills sustainable development in healthcare and pharmaceuticals.</w:t>
      </w:r>
      <w:r>
        <w:t xml:space="preserve"> </w:t>
      </w:r>
      <w:r>
        <w:rPr>
          <w:i/>
          <w:iCs/>
        </w:rPr>
        <w:t xml:space="preserve">Journal of Medical Systems</w:t>
      </w:r>
      <w:r>
        <w:t xml:space="preserve">, 44, 197. DOI: 10.1007/s10916-020-01665-9. https://link.springer.com/article/10.1007/s10916-020-01665-9</w:t>
      </w:r>
    </w:p>
    <w:p>
      <w:pPr>
        <w:pStyle w:val="BodyText"/>
      </w:pPr>
      <w:r>
        <w:t xml:space="preserve">[A17] Mayo, C. S., Deasy, J. O., Chera, B. S., &amp; Freymann, J. (2016). How can we effect culture change toward data-driven medicine?</w:t>
      </w:r>
      <w:r>
        <w:t xml:space="preserve"> </w:t>
      </w:r>
      <w:r>
        <w:rPr>
          <w:i/>
          <w:iCs/>
        </w:rPr>
        <w:t xml:space="preserve">International Journal of Radiation Oncology, Biology, Physics</w:t>
      </w:r>
      <w:r>
        <w:t xml:space="preserve">, 95(3), 916-921. DOI: 10.1016/j.ijrobp.2016.03.003. https://www.redjournal.org/article/S0360-3016(16)00260-1/fulltext</w:t>
      </w:r>
    </w:p>
    <w:p>
      <w:pPr>
        <w:pStyle w:val="BodyText"/>
      </w:pPr>
      <w:r>
        <w:t xml:space="preserve">[A18] Shahbaz, M., Gao, C., Zhai, L. L., Shahzad, F., &amp; Hu, Y. (2019). Investigating the adoption of big data analytics in healthcare: The moderating role of resistance to change.</w:t>
      </w:r>
      <w:r>
        <w:t xml:space="preserve"> </w:t>
      </w:r>
      <w:r>
        <w:rPr>
          <w:i/>
          <w:iCs/>
        </w:rPr>
        <w:t xml:space="preserve">Journal of Big Data</w:t>
      </w:r>
      <w:r>
        <w:t xml:space="preserve">, 6, 6. DOI: 10.1186/s40537-019-0170-y. https://journalofbigdata.springeropen.com/articles/10.1186/s40537-019-0170-y</w:t>
      </w:r>
    </w:p>
    <w:p>
      <w:pPr>
        <w:pStyle w:val="BodyText"/>
      </w:pPr>
      <w:r>
        <w:t xml:space="preserve">[A19] Sezgin, E., Sirrianni, J., &amp; Linwood, S. L. (2022). Operationalizing and implementing pretrained, large artificial intelligence linguistic models in the US health care system: Outlook of generative pretrained transformer 3 (GPT-3) as a service model.</w:t>
      </w:r>
      <w:r>
        <w:t xml:space="preserve"> </w:t>
      </w:r>
      <w:r>
        <w:rPr>
          <w:i/>
          <w:iCs/>
        </w:rPr>
        <w:t xml:space="preserve">JMIR Medical Informatics</w:t>
      </w:r>
      <w:r>
        <w:t xml:space="preserve">, 10(2), e32875. DOI: 10.2196/32875. https://medinform.jmir.org/2022/2/e32875</w:t>
      </w:r>
    </w:p>
    <w:p>
      <w:pPr>
        <w:pStyle w:val="BodyText"/>
      </w:pPr>
      <w:r>
        <w:t xml:space="preserve">[A20] Jiao, W., Zhang, X., &amp; D’Souza, F. (2023). The economic value and clinical impact of artificial intelligence in healthcare: A scoping literature review.</w:t>
      </w:r>
      <w:r>
        <w:t xml:space="preserve"> </w:t>
      </w:r>
      <w:r>
        <w:rPr>
          <w:i/>
          <w:iCs/>
        </w:rPr>
        <w:t xml:space="preserve">IEEE Access</w:t>
      </w:r>
      <w:r>
        <w:t xml:space="preserve">, 11, 108134-108149. DOI: 10.1109/ACCESS.2023.3327905. https://ieeexplore.ieee.org/document/10297311</w:t>
      </w:r>
    </w:p>
    <w:p>
      <w:pPr>
        <w:pStyle w:val="BodyText"/>
      </w:pPr>
      <w:r>
        <w:t xml:space="preserve">[A21] Dai, T., &amp; Abramoff, M. D. (2023). Incorporating artificial intelligence into healthcare workflows: Models and insights. In</w:t>
      </w:r>
      <w:r>
        <w:t xml:space="preserve"> </w:t>
      </w:r>
      <w:r>
        <w:rPr>
          <w:i/>
          <w:iCs/>
        </w:rPr>
        <w:t xml:space="preserve">Tutorials in Operations Research: Advancing the Frontiers of OR/MS</w:t>
      </w:r>
      <w:r>
        <w:t xml:space="preserve">. INFORMS. DOI: 10.1287/educ.2023.0257. https://pubsonline.informs.org/doi/abs/10.1287/educ.2023.0257</w:t>
      </w:r>
    </w:p>
    <w:p>
      <w:pPr>
        <w:pStyle w:val="BodyText"/>
      </w:pPr>
      <w:r>
        <w:t xml:space="preserve">[A22] Pennington, R. (2023). Artificial intelligence (AI) and its opportunity in healthcare organizations revenue cycle management (RCM).</w:t>
      </w:r>
      <w:r>
        <w:t xml:space="preserve"> </w:t>
      </w:r>
      <w:r>
        <w:rPr>
          <w:i/>
          <w:iCs/>
        </w:rPr>
        <w:t xml:space="preserve">Master’s Thesis</w:t>
      </w:r>
      <w:r>
        <w:t xml:space="preserve">, Marshall University. https://mds.marshall.edu/etd/1824/</w:t>
      </w:r>
    </w:p>
    <w:p>
      <w:pPr>
        <w:pStyle w:val="BodyText"/>
      </w:pPr>
      <w:r>
        <w:t xml:space="preserve">[A23] Atobatele, O. K., Ajayi, O. O., &amp; Hungbo, A. Q. (2023). Transforming digital health information systems with Microsoft Dynamics, SharePoint, and low-code automation platforms.</w:t>
      </w:r>
      <w:r>
        <w:t xml:space="preserve"> </w:t>
      </w:r>
      <w:r>
        <w:rPr>
          <w:i/>
          <w:iCs/>
        </w:rPr>
        <w:t xml:space="preserve">Gyanshauryam International Scientific Refereed Research Journal</w:t>
      </w:r>
      <w:r>
        <w:t xml:space="preserve">, 6(4), 26. https://gisrrj.com/paper/GISRRJ236426.pdf</w:t>
      </w:r>
    </w:p>
    <w:p>
      <w:pPr>
        <w:pStyle w:val="BodyText"/>
      </w:pPr>
      <w:r>
        <w:t xml:space="preserve">[A24] Massingham, P. R. (2018). Measuring the impact of knowledge loss: A longitudinal study.</w:t>
      </w:r>
      <w:r>
        <w:t xml:space="preserve"> </w:t>
      </w:r>
      <w:r>
        <w:rPr>
          <w:i/>
          <w:iCs/>
        </w:rPr>
        <w:t xml:space="preserve">Journal of Knowledge Management</w:t>
      </w:r>
      <w:r>
        <w:t xml:space="preserve">, 22(4), 721-758. DOI: 10.1108/JKM-08-2016-0338. https://doi.org/10.1108/JKM-08-2016-0338</w:t>
      </w:r>
    </w:p>
    <w:p>
      <w:pPr>
        <w:pStyle w:val="BodyText"/>
      </w:pPr>
      <w:r>
        <w:t xml:space="preserve">[A25] Benbya, H., Passiante, G., &amp; Belbaly, N. A. (2004). Corporate portal: A tool for knowledge management synchronization.</w:t>
      </w:r>
      <w:r>
        <w:t xml:space="preserve"> </w:t>
      </w:r>
      <w:r>
        <w:rPr>
          <w:i/>
          <w:iCs/>
        </w:rPr>
        <w:t xml:space="preserve">International Journal of Information Management</w:t>
      </w:r>
      <w:r>
        <w:t xml:space="preserve">, 24(3), 201-220. DOI: 10.1016/j.ijinfomgt.2003.12.012. https://doi.org/10.1016/j.ijinfomgt.2003.12.012</w:t>
      </w:r>
    </w:p>
    <w:p>
      <w:pPr>
        <w:pStyle w:val="BodyText"/>
      </w:pPr>
      <w:r>
        <w:t xml:space="preserve">[A26] Richesson, R. L., &amp; Krischer, J. P. (2007). Data standards in clinical research: Gaps, overlaps, challenges and future directions.</w:t>
      </w:r>
      <w:r>
        <w:t xml:space="preserve"> </w:t>
      </w:r>
      <w:r>
        <w:rPr>
          <w:i/>
          <w:iCs/>
        </w:rPr>
        <w:t xml:space="preserve">Journal of the American Medical Informatics Association</w:t>
      </w:r>
      <w:r>
        <w:t xml:space="preserve">, 14(6), 687-696. DOI: 10.1197/jamia.M2470. https://academic.oup.com/jamia/article/14/6/687/750453</w:t>
      </w:r>
    </w:p>
    <w:p>
      <w:pPr>
        <w:pStyle w:val="BodyText"/>
      </w:pPr>
      <w:r>
        <w:t xml:space="preserve">[A27] Gal, M. S., &amp; Rubinfeld, D. L. (2019). Data standardization.</w:t>
      </w:r>
      <w:r>
        <w:t xml:space="preserve"> </w:t>
      </w:r>
      <w:r>
        <w:rPr>
          <w:i/>
          <w:iCs/>
        </w:rPr>
        <w:t xml:space="preserve">New York University Law Review</w:t>
      </w:r>
      <w:r>
        <w:t xml:space="preserve">, 94(4), 737-770. https://www.nyulawreview.org/issues/volume-94-number-4/data-standardization/</w:t>
      </w:r>
    </w:p>
    <w:p>
      <w:pPr>
        <w:pStyle w:val="BodyText"/>
      </w:pPr>
      <w:r>
        <w:t xml:space="preserve">[A28] Zheng, K., Ratwani, R. M., &amp; Adler-Milstein, J. (2020). Studying workflow and workarounds in electronic health record-supported work to improve health system performance.</w:t>
      </w:r>
      <w:r>
        <w:t xml:space="preserve"> </w:t>
      </w:r>
      <w:r>
        <w:rPr>
          <w:i/>
          <w:iCs/>
        </w:rPr>
        <w:t xml:space="preserve">Annals of Internal Medicine</w:t>
      </w:r>
      <w:r>
        <w:t xml:space="preserve">, 172(11 Suppl), S116-S122. DOI: 10.7326/M19-0871. https://www.acpjournals.org/doi/10.7326/M19-0871</w:t>
      </w:r>
    </w:p>
    <w:p>
      <w:pPr>
        <w:pStyle w:val="BodyText"/>
      </w:pPr>
      <w:r>
        <w:t xml:space="preserve">[A29] Bogaert, P., Verschuuren, M., Van Oyen, H., &amp; Van Oers, H. (2021). Identifying common enablers and barriers in European health information systems.</w:t>
      </w:r>
      <w:r>
        <w:t xml:space="preserve"> </w:t>
      </w:r>
      <w:r>
        <w:rPr>
          <w:i/>
          <w:iCs/>
        </w:rPr>
        <w:t xml:space="preserve">Health Policy</w:t>
      </w:r>
      <w:r>
        <w:t xml:space="preserve">, 125(12), 1517-1526. DOI: 10.1016/j.healthpol.2021.09.006. https://www.sciencedirect.com/science/article/pii/S0168851021002396</w:t>
      </w:r>
    </w:p>
    <w:p>
      <w:pPr>
        <w:pStyle w:val="BodyText"/>
      </w:pPr>
      <w:r>
        <w:t xml:space="preserve">[A30] Tyndall, J. (2010). AACODS Checklist. Flinders University. https://dspace.flinders.edu.au/jspui/bitstream/2328/3326/4/AACODS_Checklist.pdf</w:t>
      </w:r>
    </w:p>
    <w:bookmarkEnd w:id="103"/>
    <w:bookmarkStart w:id="104" w:name="industry-sources"/>
    <w:p>
      <w:pPr>
        <w:pStyle w:val="Heading2"/>
      </w:pPr>
      <w:r>
        <w:rPr>
          <w:rStyle w:val="SectionNumber"/>
        </w:rPr>
        <w:t xml:space="preserve">14.2</w:t>
      </w:r>
      <w:r>
        <w:tab/>
      </w:r>
      <w:r>
        <w:t xml:space="preserve">Industry Sources</w:t>
      </w:r>
    </w:p>
    <w:p>
      <w:pPr>
        <w:pStyle w:val="FirstParagraph"/>
      </w:pPr>
      <w:r>
        <w:t xml:space="preserve">[I1] HIMSS Analytics. (2024). Analytics maturity assessment model (AMAM) global report. Healthcare Information and Management Systems Society. https://www.himss.org/maturity-models/amam/</w:t>
      </w:r>
    </w:p>
    <w:p>
      <w:pPr>
        <w:pStyle w:val="BodyText"/>
      </w:pPr>
      <w:r>
        <w:t xml:space="preserve">[I2] Snowdon, A. (2024). New analytics maturity adoption model pushes for digital transformation and data-driven decisions.</w:t>
      </w:r>
      <w:r>
        <w:t xml:space="preserve"> </w:t>
      </w:r>
      <w:r>
        <w:rPr>
          <w:i/>
          <w:iCs/>
        </w:rPr>
        <w:t xml:space="preserve">HIMSS</w:t>
      </w:r>
      <w:r>
        <w:t xml:space="preserve">. https://legacy.himss.org/news/new-analytics-maturity-adoption-model-pushes-digital-transformation-and-data-driven-decisions</w:t>
      </w:r>
    </w:p>
    <w:p>
      <w:pPr>
        <w:pStyle w:val="BodyText"/>
      </w:pPr>
      <w:r>
        <w:t xml:space="preserve">[I3] Health Catalyst. (2020). The healthcare analytics adoption model: A roadmap to analytic maturity. https://www.healthcatalyst.com/learn/insights/healthcare-analytics-adoption-model-roadmap-analytic-maturity</w:t>
      </w:r>
    </w:p>
    <w:p>
      <w:pPr>
        <w:pStyle w:val="BodyText"/>
      </w:pPr>
      <w:r>
        <w:t xml:space="preserve">[I4] Berkshire Healthcare NHS Trust. (2024). Empowering citizen developers: Low-code success in healthcare. https://ia.berkshirehealthcare.nhs.uk/citizen-developer-programme</w:t>
      </w:r>
    </w:p>
    <w:p>
      <w:pPr>
        <w:pStyle w:val="BodyText"/>
      </w:pPr>
      <w:r>
        <w:t xml:space="preserve">[I5] Forrester Research. (2024). The total economic impact of Microsoft Power Apps. Forrester Consulting. https://tei.forrester.com/go/microsoft/powerappstei/?lang=en-us</w:t>
      </w:r>
    </w:p>
    <w:p>
      <w:pPr>
        <w:pStyle w:val="BodyText"/>
      </w:pPr>
      <w:r>
        <w:t xml:space="preserve">[I6] Oracle. (2024). The real cost of turnover in healthcare. https://www.oracle.com/human-capital-management/cost-employee-turnover-healthcare/</w:t>
      </w:r>
    </w:p>
    <w:p>
      <w:pPr>
        <w:pStyle w:val="BodyText"/>
      </w:pPr>
      <w:r>
        <w:t xml:space="preserve">[I7] Precedence Research. (2024). Healthcare analytics market size and forecast 2025 to 2034. https://www.precedenceresearch.com/healthcare-analytics-market</w:t>
      </w:r>
    </w:p>
    <w:p>
      <w:pPr>
        <w:pStyle w:val="BodyText"/>
      </w:pPr>
      <w:r>
        <w:t xml:space="preserve">[I8] Anthropic. (2025). Code modernization playbook: A practical guide to modernizing legacy systems with AI. https://resources.anthropic.com/code-modernization-playbook</w:t>
      </w:r>
    </w:p>
    <w:p>
      <w:pPr>
        <w:pStyle w:val="BodyText"/>
      </w:pPr>
      <w:r>
        <w:t xml:space="preserve">[I9] IBM. (2022). Francisco Partners to Acquire IBM’s Healthcare Data and Analytics Assets.</w:t>
      </w:r>
      <w:r>
        <w:t xml:space="preserve"> </w:t>
      </w:r>
      <w:r>
        <w:rPr>
          <w:i/>
          <w:iCs/>
        </w:rPr>
        <w:t xml:space="preserve">IBM Newsroom</w:t>
      </w:r>
      <w:r>
        <w:t xml:space="preserve">. https://newsroom.ibm.com/2022-01-21-Francisco-Partners-to-Acquire-IBMs-Healthcare-Data-and-Analytics-Assets</w:t>
      </w:r>
    </w:p>
    <w:p>
      <w:pPr>
        <w:pStyle w:val="BodyText"/>
      </w:pPr>
      <w:r>
        <w:t xml:space="preserve">[I10] LaVito, A. (2021). Haven, the Amazon-Berkshire-JPMorgan venture to disrupt healthcare, is disbanding after 3 years.</w:t>
      </w:r>
      <w:r>
        <w:t xml:space="preserve"> </w:t>
      </w:r>
      <w:r>
        <w:rPr>
          <w:i/>
          <w:iCs/>
        </w:rPr>
        <w:t xml:space="preserve">CNBC</w:t>
      </w:r>
      <w:r>
        <w:t xml:space="preserve">. https://www.cnbc.com/2021/01/04/haven-the-amazon-berkshire-jpmorgan-venture-to-disrupt-healthcare-is-disbanding-after-3-years.html</w:t>
      </w:r>
    </w:p>
    <w:p>
      <w:pPr>
        <w:pStyle w:val="BodyText"/>
      </w:pPr>
      <w:r>
        <w:t xml:space="preserve">[I11] American Health Information Management Association &amp; NORC at the University of Chicago. (2023). Health information workforce survey report. https://www.ahima.org/news-publications/press-room-press-releases/2023-press-releases/health-information-workforce-shortages-persist-as-ai-shows-promise-ahima-survey-reveals/</w:t>
      </w:r>
    </w:p>
    <w:bookmarkEnd w:id="104"/>
    <w:bookmarkEnd w:id="105"/>
    <w:bookmarkStart w:id="112" w:name="appendices"/>
    <w:p>
      <w:pPr>
        <w:pStyle w:val="Heading1"/>
      </w:pPr>
      <w:r>
        <w:rPr>
          <w:rStyle w:val="SectionNumber"/>
        </w:rPr>
        <w:t xml:space="preserve">15</w:t>
      </w:r>
      <w:r>
        <w:tab/>
      </w:r>
      <w:r>
        <w:t xml:space="preserve">Appendices</w:t>
      </w:r>
    </w:p>
    <w:bookmarkStart w:id="106"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06"/>
    <w:bookmarkStart w:id="107"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07"/>
    <w:bookmarkStart w:id="111" w:name="Xbfd30549e6247e2f3e5132a039875af0e2849bb"/>
    <w:p>
      <w:pPr>
        <w:pStyle w:val="Heading2"/>
      </w:pPr>
      <w:r>
        <w:rPr>
          <w:rStyle w:val="SectionNumber"/>
        </w:rPr>
        <w:t xml:space="preserve">15.3</w:t>
      </w:r>
      <w:r>
        <w:tab/>
      </w:r>
      <w:r>
        <w:t xml:space="preserve">Appendix C: Healthcare NL2SQL Query Examples</w:t>
      </w:r>
    </w:p>
    <w:bookmarkStart w:id="108"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08"/>
    <w:bookmarkStart w:id="109" w:name="operational-metrics"/>
    <w:p>
      <w:pPr>
        <w:pStyle w:val="Heading3"/>
      </w:pPr>
      <w:r>
        <w:rPr>
          <w:rStyle w:val="SectionNumber"/>
        </w:rPr>
        <w:t xml:space="preserve">15.3.2</w:t>
      </w:r>
      <w:r>
        <w:tab/>
      </w:r>
      <w:r>
        <w:t xml:space="preserve">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09"/>
    <w:bookmarkStart w:id="110"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https://us.yuimedi.com/contact-us/ (include</w:t>
      </w:r>
      <w:r>
        <w:rPr>
          <w:i/>
          <w:iCs/>
        </w:rPr>
        <w:t xml:space="preserve"> </w:t>
      </w:r>
      <w:r>
        <w:rPr>
          <w:i/>
          <w:iCs/>
        </w:rPr>
        <w:t xml:space="preserve">“</w:t>
      </w:r>
      <w:r>
        <w:rPr>
          <w:i/>
          <w:iCs/>
        </w:rPr>
        <w:t xml:space="preserve">NL2SQL paper</w:t>
      </w:r>
      <w:r>
        <w:rPr>
          <w:i/>
          <w:iCs/>
        </w:rPr>
        <w:t xml:space="preserve">”</w:t>
      </w:r>
      <w:r>
        <w:rPr>
          <w:i/>
          <w:iCs/>
        </w:rPr>
        <w:t xml:space="preserve"> </w:t>
      </w:r>
      <w:r>
        <w:rPr>
          <w:i/>
          <w:iCs/>
        </w:rPr>
        <w:t xml:space="preserve">in message)</w:t>
      </w:r>
    </w:p>
    <w:bookmarkEnd w:id="110"/>
    <w:bookmarkEnd w:id="111"/>
    <w:bookmarkEnd w:id="1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 Language to SQL in Healthcare: Bridging Analytics Maturity Gaps, Workforce Turnover, and Technical Barriers Through Conversational AI Platforms</dc:title>
  <dc:creator>Samuel T Harrold, Yuimedi</dc:creator>
  <dc:language>en-US</dc:language>
  <cp:keywords>healthcare analytics, natural language processing, SQL generation, institutional memory, conversational AI, healthcare informatics, workforce turnover, analytics maturity</cp:keywords>
  <dcterms:created xsi:type="dcterms:W3CDTF">2025-12-17T15:54:06Z</dcterms:created>
  <dcterms:modified xsi:type="dcterms:W3CDTF">2025-12-17T15:54:06Z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research examines the evidence for implementing conversational AI platforms in healthcare analytics, addressing three critical challenges: low healthcare analytics maturity, workforce turnover with institutional memory loss, and technical barriers in natural language to SQL generation. Through review of peer-reviewed benchmarking studies and industry implementations, we demonstrate that natural language interfaces can democratize analytics access while preserving institutional knowledge. Healthcare-specific text-to-SQL benchmarks show significant progress, though current models are “not yet sufficiently accurate for unsupervised use” in clinical settings. Healthcare IT staff turnover of ~34% (as of 2004)—the highest among IT sectors at that time—creates institutional memory loss, while low-code implementations demonstrate significant efficiency gains and cost savings. The convergence of technical advances in NL2SQL generation, analytics maturity challenges in healthcare organizations, and workforce turnover creates conditions warranting organizational assessment of conversational AI platforms with appropriate governance. This paper contributes a three-pillar analytical framework and positions healthcare conversational AI as a knowledge portal architecture for institutional memory preservation.</vt:lpwstr>
  </property>
  <property fmtid="{D5CDD505-2E9C-101B-9397-08002B2CF9AE}" pid="3" name="book">
    <vt:lpwstr>False</vt:lpwstr>
  </property>
  <property fmtid="{D5CDD505-2E9C-101B-9397-08002B2CF9AE}" pid="4" name="citecolor">
    <vt:lpwstr>blue</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correspondence">
    <vt:lpwstr>https://us.yuimedi.com/contact-us/ (include ‘NL2SQL paper’ in message)</vt:lpwstr>
  </property>
  <property fmtid="{D5CDD505-2E9C-101B-9397-08002B2CF9AE}" pid="9" name="date">
    <vt:lpwstr>December 2025</vt:lpwstr>
  </property>
  <property fmtid="{D5CDD505-2E9C-101B-9397-08002B2CF9AE}" pid="10" name="documentclass">
    <vt:lpwstr>article</vt:lpwstr>
  </property>
  <property fmtid="{D5CDD505-2E9C-101B-9397-08002B2CF9AE}" pid="11" name="fontsize">
    <vt:lpwstr>11pt</vt:lpwstr>
  </property>
  <property fmtid="{D5CDD505-2E9C-101B-9397-08002B2CF9AE}" pid="12" name="footer-center">
    <vt:lpwstr/>
  </property>
  <property fmtid="{D5CDD505-2E9C-101B-9397-08002B2CF9AE}" pid="13" name="footer-left">
    <vt:lpwstr/>
  </property>
  <property fmtid="{D5CDD505-2E9C-101B-9397-08002B2CF9AE}" pid="14" name="footer-right">
    <vt:lpwstr/>
  </property>
  <property fmtid="{D5CDD505-2E9C-101B-9397-08002B2CF9AE}" pid="15" name="geometry">
    <vt:lpwstr>margin=1in</vt:lpwstr>
  </property>
  <property fmtid="{D5CDD505-2E9C-101B-9397-08002B2CF9AE}" pid="16" name="header-includes">
    <vt:lpwstr/>
  </property>
  <property fmtid="{D5CDD505-2E9C-101B-9397-08002B2CF9AE}" pid="17" name="header-left">
    <vt:lpwstr>NL2SQL in Healthcare</vt:lpwstr>
  </property>
  <property fmtid="{D5CDD505-2E9C-101B-9397-08002B2CF9AE}" pid="18" name="header-right">
    <vt:lpwstr>December 2025</vt:lpwstr>
  </property>
  <property fmtid="{D5CDD505-2E9C-101B-9397-08002B2CF9AE}" pid="19" name="license">
    <vt:lpwstr>CC BY 4.0</vt:lpwstr>
  </property>
  <property fmtid="{D5CDD505-2E9C-101B-9397-08002B2CF9AE}" pid="20" name="license-url">
    <vt:lpwstr>https://creativecommons.org/licenses/by/4.0/</vt:lpwstr>
  </property>
  <property fmtid="{D5CDD505-2E9C-101B-9397-08002B2CF9AE}" pid="21" name="linestretch">
    <vt:lpwstr>1.15</vt:lpwstr>
  </property>
  <property fmtid="{D5CDD505-2E9C-101B-9397-08002B2CF9AE}" pid="22" name="linkcolor">
    <vt:lpwstr>blue</vt:lpwstr>
  </property>
  <property fmtid="{D5CDD505-2E9C-101B-9397-08002B2CF9AE}" pid="23" name="listings">
    <vt:lpwstr>True</vt:lpwstr>
  </property>
  <property fmtid="{D5CDD505-2E9C-101B-9397-08002B2CF9AE}" pid="24" name="listings-no-page-break">
    <vt:lpwstr>True</vt:lpwstr>
  </property>
  <property fmtid="{D5CDD505-2E9C-101B-9397-08002B2CF9AE}" pid="25" name="mainfont">
    <vt:lpwstr>DejaVu Serif</vt:lpwstr>
  </property>
  <property fmtid="{D5CDD505-2E9C-101B-9397-08002B2CF9AE}" pid="26" name="monofont">
    <vt:lpwstr>DejaVu Sans Mono</vt:lpwstr>
  </property>
  <property fmtid="{D5CDD505-2E9C-101B-9397-08002B2CF9AE}" pid="27" name="numbersections">
    <vt:lpwstr>True</vt:lpwstr>
  </property>
  <property fmtid="{D5CDD505-2E9C-101B-9397-08002B2CF9AE}" pid="28" name="papersize">
    <vt:lpwstr>letter</vt:lpwstr>
  </property>
  <property fmtid="{D5CDD505-2E9C-101B-9397-08002B2CF9AE}" pid="29" name="prevent-widows">
    <vt:lpwstr>True</vt:lpwstr>
  </property>
  <property fmtid="{D5CDD505-2E9C-101B-9397-08002B2CF9AE}" pid="30" name="sansfont">
    <vt:lpwstr>DejaVu Sans</vt:lpwstr>
  </property>
  <property fmtid="{D5CDD505-2E9C-101B-9397-08002B2CF9AE}" pid="31" name="titlepage">
    <vt:lpwstr>True</vt:lpwstr>
  </property>
  <property fmtid="{D5CDD505-2E9C-101B-9397-08002B2CF9AE}" pid="32" name="titlepage-color">
    <vt:lpwstr>FFFFFF</vt:lpwstr>
  </property>
  <property fmtid="{D5CDD505-2E9C-101B-9397-08002B2CF9AE}" pid="33" name="titlepage-rule-color">
    <vt:lpwstr>000000</vt:lpwstr>
  </property>
  <property fmtid="{D5CDD505-2E9C-101B-9397-08002B2CF9AE}" pid="34" name="titlepage-rule-height">
    <vt:lpwstr>2</vt:lpwstr>
  </property>
  <property fmtid="{D5CDD505-2E9C-101B-9397-08002B2CF9AE}" pid="35" name="titlepage-text-color">
    <vt:lpwstr>000000</vt:lpwstr>
  </property>
  <property fmtid="{D5CDD505-2E9C-101B-9397-08002B2CF9AE}" pid="36" name="toc">
    <vt:lpwstr>True</vt:lpwstr>
  </property>
  <property fmtid="{D5CDD505-2E9C-101B-9397-08002B2CF9AE}" pid="37" name="toc-depth">
    <vt:lpwstr>3</vt:lpwstr>
  </property>
  <property fmtid="{D5CDD505-2E9C-101B-9397-08002B2CF9AE}" pid="38" name="urlcolor">
    <vt:lpwstr>blue</vt:lpwstr>
  </property>
  <property fmtid="{D5CDD505-2E9C-101B-9397-08002B2CF9AE}" pid="39" name="version">
    <vt:lpwstr>1.0.0</vt:lpwstr>
  </property>
</Properties>
</file>