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multimedia-appendix-1"/>
    <w:p>
      <w:pPr>
        <w:pStyle w:val="Heading1"/>
      </w:pPr>
      <w:r>
        <w:t xml:space="preserve">Multimedia Appendix 1</w:t>
      </w:r>
    </w:p>
    <w:bookmarkStart w:id="9"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the main paper’s section</w:t>
      </w:r>
      <w:r>
        <w:t xml:space="preserve"> </w:t>
      </w:r>
      <w:r>
        <w:t xml:space="preserve">“The Solution: Externalization via Socio-Technical Artifacts”</w:t>
      </w:r>
      <w:r>
        <w:t xml:space="preserve">).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bookmarkEnd w:id="9"/>
    <w:bookmarkStart w:id="13" w:name="the-externalization-process"/>
    <w:p>
      <w:pPr>
        <w:pStyle w:val="Heading2"/>
      </w:pPr>
      <w:r>
        <w:t xml:space="preserve">The Externalization Process</w:t>
      </w:r>
    </w:p>
    <w:p>
      <w:pPr>
        <w:pStyle w:val="FirstParagraph"/>
      </w:pPr>
      <w:r>
        <w:t xml:space="preserve">Each Validated Query Triple is produced through a five-step cycle that captures tacit knowledge as a byproduct of routine analytics:</w:t>
      </w:r>
    </w:p>
    <w:p>
      <w:pPr>
        <w:pStyle w:val="Compact"/>
        <w:numPr>
          <w:ilvl w:val="0"/>
          <w:numId w:val="1001"/>
        </w:numPr>
      </w:pPr>
      <w:r>
        <w:rPr>
          <w:i/>
          <w:iCs/>
        </w:rPr>
        <w:t xml:space="preserve">Query Generation</w:t>
      </w:r>
      <w:r>
        <w:t xml:space="preserve">: A user asks a question in natural language; the AI proposes candidate SQL based on schema knowledge.</w:t>
      </w:r>
    </w:p>
    <w:p>
      <w:pPr>
        <w:pStyle w:val="Compact"/>
        <w:numPr>
          <w:ilvl w:val="0"/>
          <w:numId w:val="1001"/>
        </w:numPr>
      </w:pPr>
      <w:r>
        <w:rPr>
          <w:i/>
          <w:iCs/>
        </w:rPr>
        <w:t xml:space="preserve">Semantic Translation</w:t>
      </w:r>
      <w:r>
        <w:t xml:space="preserve">: The AI translates the SQL back into a natural-language explanation of what it will do.</w:t>
      </w:r>
    </w:p>
    <w:p>
      <w:pPr>
        <w:pStyle w:val="Compact"/>
        <w:numPr>
          <w:ilvl w:val="0"/>
          <w:numId w:val="1001"/>
        </w:numPr>
      </w:pPr>
      <w:r>
        <w:rPr>
          <w:i/>
          <w:iCs/>
        </w:rPr>
        <w:t xml:space="preserve">Expert Validation</w:t>
      </w:r>
      <w:r>
        <w:t xml:space="preserve">: The domain expert confirms or corrects this interpretation. This is the critical moment of Externalization, where the Human-in-the-Loop step transforms validation into iterative knowledge capture.</w:t>
      </w:r>
    </w:p>
    <w:p>
      <w:pPr>
        <w:pStyle w:val="Compact"/>
        <w:numPr>
          <w:ilvl w:val="0"/>
          <w:numId w:val="1001"/>
        </w:numPr>
      </w:pPr>
      <w:r>
        <w:rPr>
          <w:i/>
          <w:iCs/>
        </w:rPr>
        <w:t xml:space="preserve">Artifact Storage</w:t>
      </w:r>
      <w:r>
        <w:t xml:space="preserve">: The validated triple is hashed and stored in organizational memory.</w:t>
      </w:r>
    </w:p>
    <w:p>
      <w:pPr>
        <w:pStyle w:val="Compact"/>
        <w:numPr>
          <w:ilvl w:val="0"/>
          <w:numId w:val="1001"/>
        </w:numPr>
      </w:pPr>
      <w:r>
        <w:rPr>
          <w:i/>
          <w:iCs/>
        </w:rPr>
        <w:t xml:space="preserve">Retrieval</w:t>
      </w:r>
      <w:r>
        <w:t xml:space="preserve">: Future queries semantically match against this repository first, retrieving trusted human knowledge before attempting probabilistic generation.</w:t>
      </w:r>
    </w:p>
    <w:p>
      <w:pPr>
        <w:pStyle w:val="FirstParagraph"/>
      </w:pPr>
      <w:r>
        <w:t xml:space="preserve">The worked examples below show the artifacts this process produces.</w:t>
      </w:r>
    </w:p>
    <w:p>
      <w:r>
        <w:pict>
          <v:rect style="width:0;height:1.5pt" o:hralign="center" o:hrstd="t" o:hr="t"/>
        </w:pict>
      </w:r>
    </w:p>
    <w:bookmarkStart w:id="10"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10"/>
    <w:bookmarkStart w:id="11"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1"/>
    <w:bookmarkStart w:id="12"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2"/>
    <w:bookmarkEnd w:id="13"/>
    <w:bookmarkStart w:id="14"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4"/>
    <w:bookmarkStart w:id="15" w:name="references"/>
    <w:p>
      <w:pPr>
        <w:pStyle w:val="Heading2"/>
      </w:pPr>
      <w:r>
        <w:t xml:space="preserve">References</w:t>
      </w:r>
    </w:p>
    <w:p>
      <w:pPr>
        <w:pStyle w:val="Compact"/>
        <w:numPr>
          <w:ilvl w:val="0"/>
          <w:numId w:val="1002"/>
        </w:numPr>
      </w:pPr>
      <w:r>
        <w:t xml:space="preserve">National Committee for Quality Assurance (NCQA). HEDIS measures and technical resources. 2025. Available from: https://www.ncqa.org/hedis/</w:t>
      </w:r>
    </w:p>
    <w:p>
      <w:pPr>
        <w:pStyle w:val="Compact"/>
        <w:numPr>
          <w:ilvl w:val="0"/>
          <w:numId w:val="1002"/>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2026-06-11T21:46:04Z</dcterms:created>
  <dcterms:modified xsi:type="dcterms:W3CDTF">2026-06-11T21:46:04Z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June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False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