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</w:t>
      </w:r>
    </w:p>
    <w:p>
      <w:pPr>
        <w:pStyle w:val="Author"/>
      </w:pPr>
      <w:r>
        <w:t xml:space="preserve">Samuel T Harrold, Yuimedi, Inc.</w:t>
      </w:r>
    </w:p>
    <w:p>
      <w:pPr>
        <w:pStyle w:val="Date"/>
      </w:pPr>
      <w:r>
        <w:t xml:space="preserve">January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multimedia-appendix-2"/>
    <w:p>
      <w:pPr>
        <w:pStyle w:val="Heading1"/>
      </w:pPr>
      <w:r>
        <w:t xml:space="preserve">Multimedia Appendix 2</w:t>
      </w:r>
    </w:p>
    <w:bookmarkStart w:id="12" w:name="healthcare-nl2sql-query-examples"/>
    <w:p>
      <w:pPr>
        <w:pStyle w:val="Heading2"/>
      </w:pPr>
      <w:r>
        <w:t xml:space="preserve">Healthcare NL2SQL Query Examples</w:t>
      </w:r>
    </w:p>
    <w:bookmarkStart w:id="9" w:name="patient-population-analysis"/>
    <w:p>
      <w:pPr>
        <w:pStyle w:val="Heading3"/>
      </w:pPr>
      <w:r>
        <w:t xml:space="preserve">Patient Population Analysis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“Show me all diabetic patients over 65 who had an HbA1c test in the last 6 months”</w:t>
      </w:r>
    </w:p>
    <w:p>
      <w:pPr>
        <w:pStyle w:val="BodyText"/>
      </w:pPr>
      <w:r>
        <w:t xml:space="preserve">Rationale: Aligned with NCQA HEDIS measures for Comprehensive Diabetes Care (CDC), monitoring HbA1c testing compliance in older adult populations.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p.patient_id, p.age, l.test_date, l.result_value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patients p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lab_results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l.patient_id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d.patient_id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'E11%'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Type 2 Diabetes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p.age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l.test_name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'HbA1c'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l.test_date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DATE_SUB(</w:t>
      </w:r>
      <w:r>
        <w:rPr>
          <w:rStyle w:val="FunctionTok"/>
        </w:rPr>
        <w:t xml:space="preserve">CURRENT_DATE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MONTH</w:t>
      </w:r>
      <w:r>
        <w:rPr>
          <w:rStyle w:val="NormalTok"/>
        </w:rPr>
        <w:t xml:space="preserve">)</w:t>
      </w:r>
    </w:p>
    <w:bookmarkEnd w:id="9"/>
    <w:bookmarkStart w:id="10" w:name="X4f3204a1a55f74fb94aff14df64c2c9789526a0"/>
    <w:p>
      <w:pPr>
        <w:pStyle w:val="Heading3"/>
      </w:pPr>
      <w:r>
        <w:t xml:space="preserve">Complex Clinical Cohort: Heart Failure Readmission Risk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“Identify patients discharged with Heart Failure in 2024 who had a readmission within 30 days, excluding those discharged to hospice. For each, calculate their max creatinine levels during the index stay.”</w:t>
      </w:r>
    </w:p>
    <w:p>
      <w:pPr>
        <w:pStyle w:val="BodyText"/>
      </w:pPr>
      <w:r>
        <w:t xml:space="preserve">Rationale: Supports CMS Hospital Readmissions Reduction Program (HRRP) tracking by identifying 30-day all-cause readmissions for Heart Failure (HF) index stays, with standard exclusions (hospice).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WITH</w:t>
      </w:r>
      <w:r>
        <w:rPr>
          <w:rStyle w:val="NormalTok"/>
        </w:rPr>
        <w:t xml:space="preserve"> IndexAdmissions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Identify index admissions for Heart Failure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a.admission_id,</w:t>
      </w:r>
      <w:r>
        <w:br/>
      </w:r>
      <w:r>
        <w:rPr>
          <w:rStyle w:val="NormalTok"/>
        </w:rPr>
        <w:t xml:space="preserve">        a.patient_id,</w:t>
      </w:r>
      <w:r>
        <w:br/>
      </w:r>
      <w:r>
        <w:rPr>
          <w:rStyle w:val="NormalTok"/>
        </w:rPr>
        <w:t xml:space="preserve">        a.discharge_date,</w:t>
      </w:r>
      <w:r>
        <w:br/>
      </w:r>
      <w:r>
        <w:rPr>
          <w:rStyle w:val="NormalTok"/>
        </w:rPr>
        <w:t xml:space="preserve">        a.discharge_disposition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admissions 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d.admission_id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'I50%'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Heart Failure codes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a.discharge_date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'2024-01-01'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'2024-12-31'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a.discharge_disposition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'HOSPICE'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Exclusion Criteria</w:t>
      </w:r>
      <w:r>
        <w:br/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Readmissions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Find readmissions within 30 days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i.patient_id,</w:t>
      </w:r>
      <w:r>
        <w:br/>
      </w:r>
      <w:r>
        <w:rPr>
          <w:rStyle w:val="NormalTok"/>
        </w:rPr>
        <w:t xml:space="preserve">        i.admission_id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index_admission_id,</w:t>
      </w:r>
      <w:r>
        <w:br/>
      </w:r>
      <w:r>
        <w:rPr>
          <w:rStyle w:val="NormalTok"/>
        </w:rPr>
        <w:t xml:space="preserve">        r.admission_date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readmission_date,</w:t>
      </w:r>
      <w:r>
        <w:br/>
      </w:r>
      <w:r>
        <w:rPr>
          <w:rStyle w:val="NormalTok"/>
        </w:rPr>
        <w:t xml:space="preserve">        DATEDIFF(r.admission_date, i.discharge_date)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days_to_readmit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IndexAdmissions i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admissions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r.patient_id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r.admission_date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i.discharge_date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r.admission_date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DATE_ADD(i.discharge_date,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-- Final Output: Cohort with Max Creatinine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r.patient_id,</w:t>
      </w:r>
      <w:r>
        <w:br/>
      </w:r>
      <w:r>
        <w:rPr>
          <w:rStyle w:val="NormalTok"/>
        </w:rPr>
        <w:t xml:space="preserve">    r.index_admission_id,</w:t>
      </w:r>
      <w:r>
        <w:br/>
      </w:r>
      <w:r>
        <w:rPr>
          <w:rStyle w:val="NormalTok"/>
        </w:rPr>
        <w:t xml:space="preserve">    r.days_to_readmit,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l.unit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'mg/dL'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l.val_num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l.unit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'mmol/L'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l.val_num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88.4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Value Normalization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max_creatinine_mgdl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Readmissions 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lab_events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r.index_admission_id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l.admission_id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l.itemid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50912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50913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-- Creatinine lab codes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r.patient_id, r.index_admission_id, r.days_to_readmit;</w:t>
      </w:r>
    </w:p>
    <w:bookmarkEnd w:id="10"/>
    <w:bookmarkStart w:id="11" w:name="quality-metrics"/>
    <w:p>
      <w:pPr>
        <w:pStyle w:val="Heading3"/>
      </w:pPr>
      <w:r>
        <w:t xml:space="preserve">Quality Metrics</w:t>
      </w:r>
    </w:p>
    <w:p>
      <w:pPr>
        <w:pStyle w:val="FirstParagraph"/>
      </w:pPr>
      <w:r>
        <w:t xml:space="preserve">Natural Language:</w:t>
      </w:r>
      <w:r>
        <w:t xml:space="preserve"> </w:t>
      </w:r>
      <w:r>
        <w:t xml:space="preserve">“How many patients were readmitted within 30 days of discharge for heart failure?”</w:t>
      </w:r>
    </w:p>
    <w:p>
      <w:pPr>
        <w:pStyle w:val="BodyText"/>
      </w:pPr>
      <w:r>
        <w:t xml:space="preserve">Rationale: Aligned with CMS Hospital Readmissions Reduction Program (HRRP) requirements, demonstrating aggregation capabilities for organizational quality reporting by specifically tracking 30-day readmission rates for heart failure populations.</w:t>
      </w:r>
    </w:p>
    <w:p>
      <w:pPr>
        <w:pStyle w:val="BodyText"/>
      </w:pPr>
      <w:r>
        <w:t xml:space="preserve">Generated SQL: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r.patient_id)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readmission_count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a1.patient_id, a1.discharge_date, a2.admission_date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admissions a1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admissions a2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a1.patient_id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a2.patient_id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a2.admission_id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d.admission_id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'I50%'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Heart failure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a2.admission_date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a1.discharge_date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DATE_ADD(a1.discharge_date,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a1.admission_id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a2.admission_id</w:t>
      </w:r>
      <w:r>
        <w:br/>
      </w:r>
      <w:r>
        <w:rPr>
          <w:rStyle w:val="NormalTok"/>
        </w:rPr>
        <w:t xml:space="preserve">) r</w:t>
      </w:r>
    </w:p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</dc:title>
  <dc:creator>Samuel T Harrold, Yuimedi, Inc.</dc:creator>
  <dc:language>en-US</dc:language>
  <cp:keywords/>
  <dcterms:created xsi:type="dcterms:W3CDTF">2026-01-22T15:32:14Z</dcterms:created>
  <dcterms:modified xsi:type="dcterms:W3CDTF">2026-01-22T15:32:14Z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/Users/stharrold/Documents/GitHub/yuimedi-paper-20250901/references.bib</vt:lpwstr>
  </property>
  <property fmtid="{D5CDD505-2E9C-101B-9397-08002B2CF9AE}" pid="3" name="book">
    <vt:lpwstr>False</vt:lpwstr>
  </property>
  <property fmtid="{D5CDD505-2E9C-101B-9397-08002B2CF9AE}" pid="4" name="citecolor">
    <vt:lpwstr>green</vt:lpwstr>
  </property>
  <property fmtid="{D5CDD505-2E9C-101B-9397-08002B2CF9AE}" pid="5" name="classoption">
    <vt:lpwstr/>
  </property>
  <property fmtid="{D5CDD505-2E9C-101B-9397-08002B2CF9AE}" pid="6" name="code-block-font-size">
    <vt:lpwstr/>
  </property>
  <property fmtid="{D5CDD505-2E9C-101B-9397-08002B2CF9AE}" pid="7" name="colorlinks">
    <vt:lpwstr>True</vt:lpwstr>
  </property>
  <property fmtid="{D5CDD505-2E9C-101B-9397-08002B2CF9AE}" pid="8" name="correspondence">
    <vt:lpwstr>https://us.yuimedi.com/contact-us/ (include ‘NL2SQL paper’ in message)</vt:lpwstr>
  </property>
  <property fmtid="{D5CDD505-2E9C-101B-9397-08002B2CF9AE}" pid="9" name="csl">
    <vt:lpwstr>/Users/stharrold/Documents/GitHub/yuimedi-paper-20250901/citation-style.csl</vt:lpwstr>
  </property>
  <property fmtid="{D5CDD505-2E9C-101B-9397-08002B2CF9AE}" pid="10" name="date">
    <vt:lpwstr>January 2026</vt:lpwstr>
  </property>
  <property fmtid="{D5CDD505-2E9C-101B-9397-08002B2CF9AE}" pid="11" name="documentclass">
    <vt:lpwstr>article</vt:lpwstr>
  </property>
  <property fmtid="{D5CDD505-2E9C-101B-9397-08002B2CF9AE}" pid="12" name="fontsize">
    <vt:lpwstr>11pt</vt:lpwstr>
  </property>
  <property fmtid="{D5CDD505-2E9C-101B-9397-08002B2CF9AE}" pid="13" name="footer-center">
    <vt:lpwstr/>
  </property>
  <property fmtid="{D5CDD505-2E9C-101B-9397-08002B2CF9AE}" pid="14" name="footer-left">
    <vt:lpwstr/>
  </property>
  <property fmtid="{D5CDD505-2E9C-101B-9397-08002B2CF9AE}" pid="15" name="footer-right">
    <vt:lpwstr/>
  </property>
  <property fmtid="{D5CDD505-2E9C-101B-9397-08002B2CF9AE}" pid="16" name="geometry">
    <vt:lpwstr/>
  </property>
  <property fmtid="{D5CDD505-2E9C-101B-9397-08002B2CF9AE}" pid="17" name="header-includes">
    <vt:lpwstr/>
  </property>
  <property fmtid="{D5CDD505-2E9C-101B-9397-08002B2CF9AE}" pid="18" name="header-left">
    <vt:lpwstr>Healthcare Analytics Challenges</vt:lpwstr>
  </property>
  <property fmtid="{D5CDD505-2E9C-101B-9397-08002B2CF9AE}" pid="19" name="header-right">
    <vt:lpwstr>January 2026</vt:lpwstr>
  </property>
  <property fmtid="{D5CDD505-2E9C-101B-9397-08002B2CF9AE}" pid="20" name="linestretch">
    <vt:lpwstr>1.5</vt:lpwstr>
  </property>
  <property fmtid="{D5CDD505-2E9C-101B-9397-08002B2CF9AE}" pid="21" name="link-citations">
    <vt:lpwstr>True</vt:lpwstr>
  </property>
  <property fmtid="{D5CDD505-2E9C-101B-9397-08002B2CF9AE}" pid="22" name="linkcolor">
    <vt:lpwstr>blue</vt:lpwstr>
  </property>
  <property fmtid="{D5CDD505-2E9C-101B-9397-08002B2CF9AE}" pid="23" name="listings">
    <vt:lpwstr>True</vt:lpwstr>
  </property>
  <property fmtid="{D5CDD505-2E9C-101B-9397-08002B2CF9AE}" pid="24" name="listings-no-page-break">
    <vt:lpwstr>True</vt:lpwstr>
  </property>
  <property fmtid="{D5CDD505-2E9C-101B-9397-08002B2CF9AE}" pid="25" name="numbersections">
    <vt:lpwstr>True</vt:lpwstr>
  </property>
  <property fmtid="{D5CDD505-2E9C-101B-9397-08002B2CF9AE}" pid="26" name="papersize">
    <vt:lpwstr>letter</vt:lpwstr>
  </property>
  <property fmtid="{D5CDD505-2E9C-101B-9397-08002B2CF9AE}" pid="27" name="prevent-widows">
    <vt:lpwstr>True</vt:lpwstr>
  </property>
  <property fmtid="{D5CDD505-2E9C-101B-9397-08002B2CF9AE}" pid="28" name="suppress-bibliography">
    <vt:lpwstr>False</vt:lpwstr>
  </property>
  <property fmtid="{D5CDD505-2E9C-101B-9397-08002B2CF9AE}" pid="29" name="titlepage">
    <vt:lpwstr>True</vt:lpwstr>
  </property>
  <property fmtid="{D5CDD505-2E9C-101B-9397-08002B2CF9AE}" pid="30" name="titlepage-color">
    <vt:lpwstr>FFFFFF</vt:lpwstr>
  </property>
  <property fmtid="{D5CDD505-2E9C-101B-9397-08002B2CF9AE}" pid="31" name="titlepage-rule-color">
    <vt:lpwstr>000000</vt:lpwstr>
  </property>
  <property fmtid="{D5CDD505-2E9C-101B-9397-08002B2CF9AE}" pid="32" name="titlepage-rule-height">
    <vt:lpwstr>2</vt:lpwstr>
  </property>
  <property fmtid="{D5CDD505-2E9C-101B-9397-08002B2CF9AE}" pid="33" name="titlepage-text-color">
    <vt:lpwstr>000000</vt:lpwstr>
  </property>
  <property fmtid="{D5CDD505-2E9C-101B-9397-08002B2CF9AE}" pid="34" name="toc">
    <vt:lpwstr>True</vt:lpwstr>
  </property>
  <property fmtid="{D5CDD505-2E9C-101B-9397-08002B2CF9AE}" pid="35" name="toc-depth">
    <vt:lpwstr>3</vt:lpwstr>
  </property>
  <property fmtid="{D5CDD505-2E9C-101B-9397-08002B2CF9AE}" pid="36" name="urlcolor">
    <vt:lpwstr>blue</vt:lpwstr>
  </property>
</Properties>
</file>