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July 2026</w:t>
      </w:r>
    </w:p>
    <w:bookmarkStart w:id="16" w:name="multimedia-appendix-1"/>
    <w:p>
      <w:pPr>
        <w:pStyle w:val="Heading1"/>
      </w:pPr>
      <w:r>
        <w:t xml:space="preserve">Multimedia Appendix 1</w:t>
      </w:r>
    </w:p>
    <w:bookmarkStart w:id="9" w:name="X71f4b4c641cfd3101a50b12c1e005d09b730d0b"/>
    <w:p>
      <w:pPr>
        <w:pStyle w:val="Heading2"/>
      </w:pPr>
      <w:r>
        <w:t xml:space="preserve">Validated Query Triple Examples for Health 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externalization cycle that captures tacit knowledge as a byproduct of routine analytics. These steps correspond to steps 1-5 of the six-step Validated Query Cycle shown in the main paper’s Figure 2; the sixth step, Persistence, is the cumulative outcome of repeated cycles: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 on a synthetic database.</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the synthetic organization’s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this synthetic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2026-08-10T22:32:50Z</dcterms:created>
  <dcterms:modified xsi:type="dcterms:W3CDTF">2026-08-10T22:32:50Z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July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 Care Analytics Challenges</vt:lpwstr>
  </property>
  <property fmtid="{D5CDD505-2E9C-101B-9397-08002B2CF9AE}" pid="19" name="header-right">
    <vt:lpwstr>July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