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71"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7"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p>
      <w:pPr>
        <w:pStyle w:val="CaptionedFigure"/>
      </w:pPr>
      <w:r>
        <w:drawing>
          <wp:inline>
            <wp:extent cx="5334000" cy="2846070"/>
            <wp:effectExtent b="0" l="0" r="0" t="0"/>
            <wp:docPr descr="Conversational AI Platform Architecture for Healthcare Analytics. The diagram illustrates the flow from clinical user queries through the NLP engine and SQL generation to the data warehouse, with institutional knowledge and healthcare ontologies informing the process." title="" id="55" name="Picture"/>
            <a:graphic>
              <a:graphicData uri="http://schemas.openxmlformats.org/drawingml/2006/picture">
                <pic:pic>
                  <pic:nvPicPr>
                    <pic:cNvPr descr="figures/architecture.jpg" id="56" name="Picture"/>
                    <pic:cNvPicPr>
                      <a:picLocks noChangeArrowheads="1" noChangeAspect="1"/>
                    </pic:cNvPicPr>
                  </pic:nvPicPr>
                  <pic:blipFill>
                    <a:blip r:embed="rId54"/>
                    <a:stretch>
                      <a:fillRect/>
                    </a:stretch>
                  </pic:blipFill>
                  <pic:spPr bwMode="auto">
                    <a:xfrm>
                      <a:off x="0" y="0"/>
                      <a:ext cx="5334000" cy="2846070"/>
                    </a:xfrm>
                    <a:prstGeom prst="rect">
                      <a:avLst/>
                    </a:prstGeom>
                    <a:noFill/>
                    <a:ln w="9525">
                      <a:noFill/>
                      <a:headEnd/>
                      <a:tailEnd/>
                    </a:ln>
                  </pic:spPr>
                </pic:pic>
              </a:graphicData>
            </a:graphic>
          </wp:inline>
        </w:drawing>
      </w:r>
    </w:p>
    <w:p>
      <w:pPr>
        <w:pStyle w:val="ImageCaption"/>
      </w:pPr>
      <w:r>
        <w:t xml:space="preserve">Conversational AI Platform Architecture for Healthcare Analytics. The diagram illustrates the flow from clinical user queries through the NLP engine and SQL generation to the data warehouse, with institutional knowledge and healthcare ontologies informing the process.</w:t>
      </w:r>
    </w:p>
    <w:p>
      <w:pPr>
        <w:pStyle w:val="BodyText"/>
      </w:pPr>
      <w:r>
        <w:rPr>
          <w:i/>
          <w:iCs/>
        </w:rPr>
        <w:t xml:space="preserve">Figure 1: Conversational AI Platform Architecture for Healthcare Analytics</w:t>
      </w:r>
    </w:p>
    <w:bookmarkEnd w:id="57"/>
    <w:bookmarkStart w:id="62" w:name="core-capabilities"/>
    <w:p>
      <w:pPr>
        <w:pStyle w:val="Heading2"/>
      </w:pPr>
      <w:r>
        <w:rPr>
          <w:rStyle w:val="SectionNumber"/>
        </w:rPr>
        <w:t xml:space="preserve">4.2</w:t>
      </w:r>
      <w:r>
        <w:tab/>
      </w:r>
      <w:r>
        <w:t xml:space="preserve">Core Capabilities</w:t>
      </w:r>
    </w:p>
    <w:bookmarkStart w:id="58"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8"/>
    <w:bookmarkStart w:id="59"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9"/>
    <w:bookmarkStart w:id="60"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0"/>
    <w:bookmarkStart w:id="61"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1"/>
    <w:bookmarkEnd w:id="62"/>
    <w:bookmarkStart w:id="66" w:name="implementation-framework"/>
    <w:p>
      <w:pPr>
        <w:pStyle w:val="Heading2"/>
      </w:pPr>
      <w:r>
        <w:rPr>
          <w:rStyle w:val="SectionNumber"/>
        </w:rPr>
        <w:t xml:space="preserve">4.3</w:t>
      </w:r>
      <w:r>
        <w:tab/>
      </w:r>
      <w:r>
        <w:t xml:space="preserve">Implementation Framework</w:t>
      </w:r>
    </w:p>
    <w:bookmarkStart w:id="63"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3"/>
    <w:bookmarkStart w:id="64"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4"/>
    <w:bookmarkStart w:id="65"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5"/>
    <w:bookmarkEnd w:id="66"/>
    <w:bookmarkStart w:id="70" w:name="risk-mitigation-and-quality-assurance"/>
    <w:p>
      <w:pPr>
        <w:pStyle w:val="Heading2"/>
      </w:pPr>
      <w:r>
        <w:rPr>
          <w:rStyle w:val="SectionNumber"/>
        </w:rPr>
        <w:t xml:space="preserve">4.4</w:t>
      </w:r>
      <w:r>
        <w:tab/>
      </w:r>
      <w:r>
        <w:t xml:space="preserve">Risk Mitigation and Quality Assurance</w:t>
      </w:r>
    </w:p>
    <w:bookmarkStart w:id="67"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7"/>
    <w:bookmarkStart w:id="68"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8"/>
    <w:bookmarkStart w:id="69"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9"/>
    <w:bookmarkEnd w:id="70"/>
    <w:bookmarkEnd w:id="71"/>
    <w:bookmarkStart w:id="82"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6" w:name="academic-study-results"/>
    <w:p>
      <w:pPr>
        <w:pStyle w:val="Heading2"/>
      </w:pPr>
      <w:r>
        <w:rPr>
          <w:rStyle w:val="SectionNumber"/>
        </w:rPr>
        <w:t xml:space="preserve">5.1</w:t>
      </w:r>
      <w:r>
        <w:tab/>
      </w:r>
      <w:r>
        <w:t xml:space="preserve">Academic Study Results</w:t>
      </w:r>
    </w:p>
    <w:bookmarkStart w:id="72"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2"/>
    <w:bookmarkStart w:id="73"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3"/>
    <w:bookmarkStart w:id="74"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4"/>
    <w:bookmarkStart w:id="75"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5"/>
    <w:bookmarkEnd w:id="76"/>
    <w:bookmarkStart w:id="78" w:name="real-world-case-studies"/>
    <w:p>
      <w:pPr>
        <w:pStyle w:val="Heading2"/>
      </w:pPr>
      <w:r>
        <w:rPr>
          <w:rStyle w:val="SectionNumber"/>
        </w:rPr>
        <w:t xml:space="preserve">5.2</w:t>
      </w:r>
      <w:r>
        <w:tab/>
      </w:r>
      <w:r>
        <w:t xml:space="preserve">Real-World Case Studies</w:t>
      </w:r>
    </w:p>
    <w:bookmarkStart w:id="77"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7"/>
    <w:bookmarkEnd w:id="78"/>
    <w:bookmarkStart w:id="81" w:name="economic-impact-analysis"/>
    <w:p>
      <w:pPr>
        <w:pStyle w:val="Heading2"/>
      </w:pPr>
      <w:r>
        <w:rPr>
          <w:rStyle w:val="SectionNumber"/>
        </w:rPr>
        <w:t xml:space="preserve">5.3</w:t>
      </w:r>
      <w:r>
        <w:tab/>
      </w:r>
      <w:r>
        <w:t xml:space="preserve">Economic Impact Analysis</w:t>
      </w:r>
    </w:p>
    <w:bookmarkStart w:id="79"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9"/>
    <w:bookmarkStart w:id="80"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80"/>
    <w:bookmarkEnd w:id="81"/>
    <w:bookmarkEnd w:id="82"/>
    <w:bookmarkStart w:id="103" w:name="discussion"/>
    <w:p>
      <w:pPr>
        <w:pStyle w:val="Heading1"/>
      </w:pPr>
      <w:r>
        <w:rPr>
          <w:rStyle w:val="SectionNumber"/>
        </w:rPr>
        <w:t xml:space="preserve">6</w:t>
      </w:r>
      <w:r>
        <w:tab/>
      </w:r>
      <w:r>
        <w:t xml:space="preserve">Discussion</w:t>
      </w:r>
    </w:p>
    <w:bookmarkStart w:id="88"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3"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3"/>
    <w:bookmarkStart w:id="84"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4"/>
    <w:bookmarkStart w:id="85"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5"/>
    <w:bookmarkStart w:id="86"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6"/>
    <w:bookmarkStart w:id="87"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7"/>
    <w:bookmarkEnd w:id="88"/>
    <w:bookmarkStart w:id="94"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9"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9"/>
    <w:bookmarkStart w:id="90"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0"/>
    <w:bookmarkStart w:id="91"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1"/>
    <w:bookmarkStart w:id="92"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2"/>
    <w:bookmarkStart w:id="93"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3"/>
    <w:bookmarkEnd w:id="94"/>
    <w:bookmarkStart w:id="98"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5"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5"/>
    <w:bookmarkStart w:id="96"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6"/>
    <w:bookmarkStart w:id="97"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7"/>
    <w:bookmarkEnd w:id="98"/>
    <w:bookmarkStart w:id="102"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9"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9"/>
    <w:bookmarkStart w:id="100"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100"/>
    <w:bookmarkStart w:id="101"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1"/>
    <w:bookmarkEnd w:id="102"/>
    <w:bookmarkEnd w:id="103"/>
    <w:bookmarkStart w:id="107"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4"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4"/>
    <w:bookmarkStart w:id="105"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5"/>
    <w:bookmarkStart w:id="106"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6"/>
    <w:bookmarkEnd w:id="107"/>
    <w:bookmarkStart w:id="110" w:name="references"/>
    <w:p>
      <w:pPr>
        <w:pStyle w:val="Heading1"/>
      </w:pPr>
      <w:r>
        <w:rPr>
          <w:rStyle w:val="SectionNumber"/>
        </w:rPr>
        <w:t xml:space="preserve">8</w:t>
      </w:r>
      <w:r>
        <w:tab/>
      </w:r>
      <w:r>
        <w:t xml:space="preserve">References</w:t>
      </w:r>
    </w:p>
    <w:bookmarkStart w:id="108"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8"/>
    <w:bookmarkStart w:id="109"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9"/>
    <w:bookmarkEnd w:id="110"/>
    <w:bookmarkStart w:id="117" w:name="appendices"/>
    <w:p>
      <w:pPr>
        <w:pStyle w:val="Heading1"/>
      </w:pPr>
      <w:r>
        <w:rPr>
          <w:rStyle w:val="SectionNumber"/>
        </w:rPr>
        <w:t xml:space="preserve">9</w:t>
      </w:r>
      <w:r>
        <w:tab/>
      </w:r>
      <w:r>
        <w:t xml:space="preserve">Appendices</w:t>
      </w:r>
    </w:p>
    <w:bookmarkStart w:id="111"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1"/>
    <w:bookmarkStart w:id="112"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2"/>
    <w:bookmarkStart w:id="116" w:name="Xbfd30549e6247e2f3e5132a039875af0e2849bb"/>
    <w:p>
      <w:pPr>
        <w:pStyle w:val="Heading2"/>
      </w:pPr>
      <w:r>
        <w:rPr>
          <w:rStyle w:val="SectionNumber"/>
        </w:rPr>
        <w:t xml:space="preserve">9.3</w:t>
      </w:r>
      <w:r>
        <w:tab/>
      </w:r>
      <w:r>
        <w:t xml:space="preserve">Appendix C: Healthcare NL2SQL Query Examples</w:t>
      </w:r>
    </w:p>
    <w:bookmarkStart w:id="113"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3"/>
    <w:bookmarkStart w:id="114"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4"/>
    <w:bookmarkStart w:id="115"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2025-12-12T08:16:01Z</dcterms:created>
  <dcterms:modified xsi:type="dcterms:W3CDTF">2025-12-12T08:16:01Z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left">
    <vt:lpwstr>NL2SQL in Healthcare</vt:lpwstr>
  </property>
  <property fmtid="{D5CDD505-2E9C-101B-9397-08002B2CF9AE}" pid="16" name="header-right">
    <vt:lpwstr>December 2025</vt:lpwstr>
  </property>
  <property fmtid="{D5CDD505-2E9C-101B-9397-08002B2CF9AE}" pid="17" name="license">
    <vt:lpwstr>CC BY 4.0</vt:lpwstr>
  </property>
  <property fmtid="{D5CDD505-2E9C-101B-9397-08002B2CF9AE}" pid="18" name="license-url">
    <vt:lpwstr>https://creativecommons.org/licenses/by/4.0/</vt:lpwstr>
  </property>
  <property fmtid="{D5CDD505-2E9C-101B-9397-08002B2CF9AE}" pid="19" name="linestretch">
    <vt:lpwstr>1.15</vt:lpwstr>
  </property>
  <property fmtid="{D5CDD505-2E9C-101B-9397-08002B2CF9AE}" pid="20" name="linkcolor">
    <vt:lpwstr>blue</vt:lpwstr>
  </property>
  <property fmtid="{D5CDD505-2E9C-101B-9397-08002B2CF9AE}" pid="21" name="listings">
    <vt:lpwstr>True</vt:lpwstr>
  </property>
  <property fmtid="{D5CDD505-2E9C-101B-9397-08002B2CF9AE}" pid="22" name="listings-no-page-break">
    <vt:lpwstr>True</vt:lpwstr>
  </property>
  <property fmtid="{D5CDD505-2E9C-101B-9397-08002B2CF9AE}" pid="23" name="mainfont">
    <vt:lpwstr>DejaVu Serif</vt:lpwstr>
  </property>
  <property fmtid="{D5CDD505-2E9C-101B-9397-08002B2CF9AE}" pid="24" name="monofont">
    <vt:lpwstr>DejaVu Sans Mono</vt:lpwstr>
  </property>
  <property fmtid="{D5CDD505-2E9C-101B-9397-08002B2CF9AE}" pid="25" name="numbersections">
    <vt:lpwstr>True</vt:lpwstr>
  </property>
  <property fmtid="{D5CDD505-2E9C-101B-9397-08002B2CF9AE}" pid="26" name="papersize">
    <vt:lpwstr>letter</vt:lpwstr>
  </property>
  <property fmtid="{D5CDD505-2E9C-101B-9397-08002B2CF9AE}" pid="27" name="prevent-widows">
    <vt:lpwstr>True</vt:lpwstr>
  </property>
  <property fmtid="{D5CDD505-2E9C-101B-9397-08002B2CF9AE}" pid="28" name="sansfont">
    <vt:lpwstr>DejaVu Sans</vt:lpwstr>
  </property>
  <property fmtid="{D5CDD505-2E9C-101B-9397-08002B2CF9AE}" pid="29" name="titlepage">
    <vt:lpwstr>True</vt:lpwstr>
  </property>
  <property fmtid="{D5CDD505-2E9C-101B-9397-08002B2CF9AE}" pid="30" name="titlepage-color">
    <vt:lpwstr>FFFFFF</vt:lpwstr>
  </property>
  <property fmtid="{D5CDD505-2E9C-101B-9397-08002B2CF9AE}" pid="31" name="titlepage-rule-color">
    <vt:lpwstr>000000</vt:lpwstr>
  </property>
  <property fmtid="{D5CDD505-2E9C-101B-9397-08002B2CF9AE}" pid="32" name="titlepage-rule-height">
    <vt:lpwstr>2</vt:lpwstr>
  </property>
  <property fmtid="{D5CDD505-2E9C-101B-9397-08002B2CF9AE}" pid="33" name="titlepage-text-color">
    <vt:lpwstr>000000</vt:lpwstr>
  </property>
  <property fmtid="{D5CDD505-2E9C-101B-9397-08002B2CF9AE}" pid="34" name="toc">
    <vt:lpwstr>True</vt:lpwstr>
  </property>
  <property fmtid="{D5CDD505-2E9C-101B-9397-08002B2CF9AE}" pid="35" name="toc-depth">
    <vt:lpwstr>3</vt:lpwstr>
  </property>
  <property fmtid="{D5CDD505-2E9C-101B-9397-08002B2CF9AE}" pid="36" name="urlcolor">
    <vt:lpwstr>blue</vt:lpwstr>
  </property>
  <property fmtid="{D5CDD505-2E9C-101B-9397-08002B2CF9AE}" pid="37" name="version">
    <vt:lpwstr>1.0.0</vt:lpwstr>
  </property>
</Properties>
</file>