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Dynamics,</w:t>
      </w:r>
      <w:r>
        <w:t xml:space="preserve"> </w:t>
      </w:r>
      <w:r>
        <w:t xml:space="preserve">and</w:t>
      </w:r>
      <w:r>
        <w:t xml:space="preserve"> </w:t>
      </w:r>
      <w:r>
        <w:t xml:space="preserve">Technical</w:t>
      </w:r>
      <w:r>
        <w:t xml:space="preserve"> </w:t>
      </w:r>
      <w:r>
        <w:t xml:space="preserve">Barriers</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December</w:t>
      </w:r>
      <w:r>
        <w:t xml:space="preserve"> </w:t>
      </w:r>
      <w:r>
        <w:t xml:space="preserve">2025</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that</w:t>
      </w:r>
      <w:r>
        <w:t xml:space="preserve"> </w:t>
      </w:r>
      <w:r>
        <w:t xml:space="preserve">form</w:t>
      </w:r>
      <w:r>
        <w:t xml:space="preserve"> </w:t>
      </w:r>
      <w:r>
        <w:t xml:space="preserve">a</w:t>
      </w:r>
      <w:r>
        <w:t xml:space="preserve"> </w:t>
      </w:r>
      <w:r>
        <w:t xml:space="preserve">compounding</w:t>
      </w:r>
      <w:r>
        <w:t xml:space="preserve"> </w:t>
      </w:r>
      <w:r>
        <w:t xml:space="preserve">cycle:</w:t>
      </w:r>
      <w:r>
        <w:t xml:space="preserve"> </w:t>
      </w:r>
      <w:r>
        <w:t xml:space="preserve">low</w:t>
      </w:r>
      <w:r>
        <w:t xml:space="preserve"> </w:t>
      </w:r>
      <w:r>
        <w:t xml:space="preserve">analytics</w:t>
      </w:r>
      <w:r>
        <w:t xml:space="preserve"> </w:t>
      </w:r>
      <w:r>
        <w:t xml:space="preserve">maturity</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have</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high</w:t>
      </w:r>
      <w:r>
        <w:t xml:space="preserve"> </w:t>
      </w:r>
      <w:r>
        <w:t xml:space="preserve">new-hire</w:t>
      </w:r>
      <w:r>
        <w:t xml:space="preserve"> </w:t>
      </w:r>
      <w:r>
        <w:t xml:space="preserve">turnover</w:t>
      </w:r>
      <w:r>
        <w:t xml:space="preserve"> </w:t>
      </w:r>
      <w:r>
        <w:t xml:space="preserve">(~34%</w:t>
      </w:r>
      <w:r>
        <w:t xml:space="preserve"> </w:t>
      </w:r>
      <w:r>
        <w:t xml:space="preserve">implied</w:t>
      </w:r>
      <w:r>
        <w:t xml:space="preserve"> </w:t>
      </w:r>
      <w:r>
        <w:t xml:space="preserve">annual</w:t>
      </w:r>
      <w:r>
        <w:t xml:space="preserve"> </w:t>
      </w:r>
      <w:r>
        <w:t xml:space="preserve">rate</w:t>
      </w:r>
      <w:r>
        <w:t xml:space="preserve"> </w:t>
      </w:r>
      <w:r>
        <w:t xml:space="preserve">for</w:t>
      </w:r>
      <w:r>
        <w:t xml:space="preserve"> </w:t>
      </w:r>
      <w:r>
        <w:t xml:space="preserve">healthcare</w:t>
      </w:r>
      <w:r>
        <w:t xml:space="preserve"> </w:t>
      </w:r>
      <w:r>
        <w:t xml:space="preserve">IT</w:t>
      </w:r>
      <w:r>
        <w:t xml:space="preserve"> </w:t>
      </w:r>
      <w:r>
        <w:t xml:space="preserve">staff</w:t>
      </w:r>
      <w:r>
        <w:t xml:space="preserve"> </w:t>
      </w:r>
      <w:r>
        <w:t xml:space="preserve">as</w:t>
      </w:r>
      <w:r>
        <w:t xml:space="preserve"> </w:t>
      </w:r>
      <w:r>
        <w:t xml:space="preserve">of</w:t>
      </w:r>
      <w:r>
        <w:t xml:space="preserve"> </w:t>
      </w:r>
      <w:r>
        <w:t xml:space="preserve">2004),</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healthcare</w:t>
      </w:r>
      <w:r>
        <w:t xml:space="preserve"> </w:t>
      </w:r>
      <w:r>
        <w:t xml:space="preserve">analytics</w:t>
      </w:r>
      <w:r>
        <w:t xml:space="preserve"> </w:t>
      </w:r>
      <w:r>
        <w:t xml:space="preserve">maturity</w:t>
      </w:r>
      <w:r>
        <w:t xml:space="preserve"> </w:t>
      </w:r>
      <w:r>
        <w:t xml:space="preserve">gaps,</w:t>
      </w:r>
      <w:r>
        <w:t xml:space="preserve"> </w:t>
      </w:r>
      <w:r>
        <w:t xml:space="preserve">workforce</w:t>
      </w:r>
      <w:r>
        <w:t xml:space="preserve"> </w:t>
      </w:r>
      <w:r>
        <w:t xml:space="preserve">turnover,</w:t>
      </w:r>
      <w:r>
        <w:t xml:space="preserve"> </w:t>
      </w:r>
      <w:r>
        <w:t xml:space="preserve">and</w:t>
      </w:r>
      <w:r>
        <w:t xml:space="preserve"> </w:t>
      </w:r>
      <w:r>
        <w:t xml:space="preserve">technical</w:t>
      </w:r>
      <w:r>
        <w:t xml:space="preserve"> </w:t>
      </w:r>
      <w:r>
        <w:t xml:space="preserve">barriers</w:t>
      </w:r>
      <w:r>
        <w:t xml:space="preserve"> </w:t>
      </w:r>
      <w:r>
        <w:t xml:space="preserve">to</w:t>
      </w:r>
      <w:r>
        <w:t xml:space="preserve"> </w:t>
      </w:r>
      <w:r>
        <w:t xml:space="preserve">data</w:t>
      </w:r>
      <w:r>
        <w:t xml:space="preserve"> </w:t>
      </w:r>
      <w:r>
        <w:t xml:space="preserve">access.</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sources</w:t>
      </w:r>
      <w:r>
        <w:t xml:space="preserve"> </w:t>
      </w:r>
      <w:r>
        <w:t xml:space="preserve">were</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examining</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(EHRSQL,</w:t>
      </w:r>
      <w:r>
        <w:t xml:space="preserve"> </w:t>
      </w:r>
      <w:r>
        <w:t xml:space="preserve">SM3-Text-to-Query)</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three-pillar</w:t>
      </w:r>
      <w:r>
        <w:t xml:space="preserve"> </w:t>
      </w:r>
      <w:r>
        <w:t xml:space="preserve">framework</w:t>
      </w:r>
      <w:r>
        <w:t xml:space="preserve"> </w:t>
      </w:r>
      <w:r>
        <w:t xml:space="preserve">reveals</w:t>
      </w:r>
      <w:r>
        <w:t xml:space="preserve"> </w:t>
      </w:r>
      <w:r>
        <w:t xml:space="preserve">compounding</w:t>
      </w:r>
      <w:r>
        <w:t xml:space="preserve"> </w:t>
      </w:r>
      <w:r>
        <w:t xml:space="preserve">dynamics:</w:t>
      </w:r>
      <w:r>
        <w:t xml:space="preserve"> </w:t>
      </w:r>
      <w:r>
        <w:t xml:space="preserve">organizations</w:t>
      </w:r>
      <w:r>
        <w:t xml:space="preserve"> </w:t>
      </w:r>
      <w:r>
        <w:t xml:space="preserve">at</w:t>
      </w:r>
      <w:r>
        <w:t xml:space="preserve"> </w:t>
      </w:r>
      <w:r>
        <w:t xml:space="preserve">low</w:t>
      </w:r>
      <w:r>
        <w:t xml:space="preserve"> </w:t>
      </w:r>
      <w:r>
        <w:t xml:space="preserve">maturity</w:t>
      </w:r>
      <w:r>
        <w:t xml:space="preserve"> </w:t>
      </w:r>
      <w:r>
        <w:t xml:space="preserve">stages</w:t>
      </w:r>
      <w:r>
        <w:t xml:space="preserve"> </w:t>
      </w:r>
      <w:r>
        <w:t xml:space="preserve">experience</w:t>
      </w:r>
      <w:r>
        <w:t xml:space="preserve"> </w:t>
      </w:r>
      <w:r>
        <w:t xml:space="preserve">higher</w:t>
      </w:r>
      <w:r>
        <w:t xml:space="preserve"> </w:t>
      </w:r>
      <w:r>
        <w:t xml:space="preserve">turnover,</w:t>
      </w:r>
      <w:r>
        <w:t xml:space="preserve"> </w:t>
      </w:r>
      <w:r>
        <w:t xml:space="preserve">turnover</w:t>
      </w:r>
      <w:r>
        <w:t xml:space="preserve"> </w:t>
      </w:r>
      <w:r>
        <w:t xml:space="preserve">degrades</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and</w:t>
      </w:r>
      <w:r>
        <w:t xml:space="preserve"> </w:t>
      </w:r>
      <w:r>
        <w:t xml:space="preserve">technical</w:t>
      </w:r>
      <w:r>
        <w:t xml:space="preserve"> </w:t>
      </w:r>
      <w:r>
        <w:t xml:space="preserve">barriers</w:t>
      </w:r>
      <w:r>
        <w:t xml:space="preserve"> </w:t>
      </w:r>
      <w:r>
        <w:t xml:space="preserve">prevent</w:t>
      </w:r>
      <w:r>
        <w:t xml:space="preserve"> </w:t>
      </w:r>
      <w:r>
        <w:t xml:space="preserve">capturing</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healthcare</w:t>
      </w:r>
      <w:r>
        <w:t xml:space="preserve"> </w:t>
      </w:r>
      <w:r>
        <w:t xml:space="preserve">analytics</w:t>
      </w:r>
      <w:r>
        <w:t xml:space="preserve"> </w:t>
      </w:r>
      <w:r>
        <w:t xml:space="preserve">maturity,</w:t>
      </w:r>
      <w:r>
        <w:t xml:space="preserve"> </w:t>
      </w:r>
      <w:r>
        <w:t xml:space="preserve">workforce</w:t>
      </w:r>
      <w:r>
        <w:t xml:space="preserve"> </w:t>
      </w:r>
      <w:r>
        <w:t xml:space="preserve">dynamics,</w:t>
      </w:r>
      <w:r>
        <w:t xml:space="preserve"> </w:t>
      </w:r>
      <w:r>
        <w:t xml:space="preserve">and</w:t>
      </w:r>
      <w:r>
        <w:t xml:space="preserve"> </w:t>
      </w:r>
      <w:r>
        <w:t xml:space="preserve">technical</w:t>
      </w:r>
      <w:r>
        <w:t xml:space="preserve"> </w:t>
      </w:r>
      <w:r>
        <w:t xml:space="preserve">barriers.</w:t>
      </w:r>
      <w:r>
        <w:t xml:space="preserve"> </w:t>
      </w:r>
      <w:r>
        <w:t xml:space="preserve">The</w:t>
      </w:r>
      <w:r>
        <w:t xml:space="preserve"> </w:t>
      </w:r>
      <w:r>
        <w:t xml:space="preserve">framework</w:t>
      </w:r>
      <w:r>
        <w:t xml:space="preserve"> </w:t>
      </w:r>
      <w:r>
        <w:t xml:space="preserve">reveals</w:t>
      </w:r>
      <w:r>
        <w:t xml:space="preserve"> </w:t>
      </w:r>
      <w:r>
        <w:t xml:space="preserve">compounding</w:t>
      </w:r>
      <w:r>
        <w:t xml:space="preserve"> </w:t>
      </w:r>
      <w:r>
        <w:t xml:space="preserve">effects:</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turnover</w:t>
      </w:r>
      <w:r>
        <w:t xml:space="preserve"> </w:t>
      </w:r>
      <w:r>
        <w:t xml:space="preserve">degrades</w:t>
      </w:r>
      <w:r>
        <w:t xml:space="preserve"> </w:t>
      </w:r>
      <w:r>
        <w:t xml:space="preserve">maturity,</w:t>
      </w:r>
      <w:r>
        <w:t xml:space="preserve"> </w:t>
      </w:r>
      <w:r>
        <w:t xml:space="preserve">and</w:t>
      </w:r>
      <w:r>
        <w:t xml:space="preserve"> </w:t>
      </w:r>
      <w:r>
        <w:t xml:space="preserve">technical</w:t>
      </w:r>
      <w:r>
        <w:t xml:space="preserve"> </w:t>
      </w:r>
      <w:r>
        <w:t xml:space="preserve">barriers</w:t>
      </w:r>
      <w:r>
        <w:t xml:space="preserve"> </w:t>
      </w:r>
      <w:r>
        <w:t xml:space="preserve">prevent</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technology</w:t>
      </w:r>
      <w:r>
        <w:t xml:space="preserve"> </w:t>
      </w:r>
      <w:r>
        <w:t xml:space="preserve">interventions,</w:t>
      </w:r>
      <w:r>
        <w:t xml:space="preserve"> </w:t>
      </w:r>
      <w:r>
        <w:t xml:space="preserve">including</w:t>
      </w:r>
      <w:r>
        <w:t xml:space="preserve"> </w:t>
      </w:r>
      <w:r>
        <w:t xml:space="preserve">conversational</w:t>
      </w:r>
      <w:r>
        <w:t xml:space="preserve"> </w:t>
      </w:r>
      <w:r>
        <w:t xml:space="preserve">AI</w:t>
      </w:r>
      <w:r>
        <w:t xml:space="preserve"> </w:t>
      </w:r>
      <w:r>
        <w:t xml:space="preserve">platforms</w:t>
      </w:r>
      <w:r>
        <w:t xml:space="preserve"> </w:t>
      </w:r>
      <w:r>
        <w:t xml:space="preserve">as</w:t>
      </w:r>
      <w:r>
        <w:t xml:space="preserve"> </w:t>
      </w:r>
      <w:r>
        <w:t xml:space="preserve">one</w:t>
      </w:r>
      <w:r>
        <w:t xml:space="preserve"> </w:t>
      </w:r>
      <w:r>
        <w:t xml:space="preserve">potential</w:t>
      </w:r>
      <w:r>
        <w:t xml:space="preserve"> </w:t>
      </w:r>
      <w:r>
        <w:t xml:space="preserve">application.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4" w:name="introduction"/>
    <w:p>
      <w:pPr>
        <w:pStyle w:val="Heading1"/>
      </w:pPr>
      <w:r>
        <w:rPr>
          <w:rStyle w:val="SectionNumber"/>
        </w:rPr>
        <w:t xml:space="preserve">1</w:t>
      </w:r>
      <w:r>
        <w:tab/>
      </w:r>
      <w:r>
        <w:t xml:space="preserve">Introduction</w:t>
      </w:r>
    </w:p>
    <w:bookmarkStart w:id="20" w:name="background"/>
    <w:p>
      <w:pPr>
        <w:pStyle w:val="Heading2"/>
      </w:pPr>
      <w:r>
        <w:rPr>
          <w:rStyle w:val="SectionNumber"/>
        </w:rPr>
        <w:t xml:space="preserve">1.1</w:t>
      </w:r>
      <w:r>
        <w:tab/>
      </w:r>
      <w:r>
        <w:t xml:space="preserve">Background</w:t>
      </w:r>
    </w:p>
    <w:p>
      <w:pPr>
        <w:pStyle w:val="FirstParagraph"/>
      </w:pPr>
      <w:r>
        <w:t xml:space="preserve">Healthcare analytics has emerged as a critical capability for improving patient outcomes, reducing costs, and enhancing operational efficiency. While healthcare organizations must balance cost management, regulatory compliance, and operational efficiency, these concerns serve a primary institutional imperative: delivering high-quality patient care. Analytics initiatives that fail to advance this core mission, or worse, that divert resources and attention without improving care delivery, represent a misalignment with healthcare’s fundamental purpose.</w:t>
      </w:r>
    </w:p>
    <w:p>
      <w:pPr>
        <w:pStyle w:val="BodyText"/>
      </w:pPr>
      <w:r>
        <w:t xml:space="preserve">However, the sector faces unique challenges that distinguish it from other data-intensive industries.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Healthcare Information Management Systems Society (HIMSS) Analytics Maturity Assessment Model (AMAM) provides the industry standard for measuring healthcare analytics capabilities across seven stages, from basic data collection to advanced predictive modeling and AI integration. Recent assessments reveal a sobering reality: as of 2024, only 26 organizations worldwide have achieved Stage 6 maturity, with merely 13 reaching Stage 7, the highest level characterized by predictive analytics and AI integration</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w:t>
      </w:r>
    </w:p>
    <w:p>
      <w:pPr>
        <w:pStyle w:val="BodyText"/>
      </w:pPr>
      <w:r>
        <w:t xml:space="preserve">This analytics maturity crisis occurs amid accelerating technological advances in natural language processing and conversational AI. Large language models have demonstrated remarkable capabilities in understanding clinical terminology, generating SQL queries, and bridging the gap between natural language questions and structured data analysis. These developments create unprecedented opportunities to democratize healthcare analytics access.</w:t>
      </w:r>
    </w:p>
    <w:p>
      <w:pPr>
        <w:pStyle w:val="BodyText"/>
      </w:pPr>
      <w:r>
        <w:t xml:space="preserve">Simultaneously, healthcare faces an institutional memory crisis driven by workforce turnover rates significantly higher than other knowledge-intensive sectors. A 2004 study found healthcare IT staff had an expected new-hire tenure of just 2.9 years (implying ~34% turnover for incoming talent)</w:t>
      </w:r>
      <w:r>
        <w:t xml:space="preserve"> </w:t>
      </w:r>
      <w:r>
        <w:t xml:space="preserve">(</w:t>
      </w:r>
      <w:hyperlink w:anchor="ref-ang2004">
        <w:r>
          <w:rPr>
            <w:rStyle w:val="Hyperlink"/>
          </w:rPr>
          <w:t xml:space="preserve">4</w:t>
        </w:r>
      </w:hyperlink>
      <w:r>
        <w:t xml:space="preserve">)</w:t>
      </w:r>
      <w:r>
        <w:t xml:space="preserve">, the lowest retention rate among all IT organization types studied at that time, creating cascading knowledge loss, particularly in analytics roles where expertise combines domain knowledge with technical skills. Traditional knowledge management approaches prove inadequate for preserving the tacit knowledge essential for effective healthcare data analysis.</w:t>
      </w:r>
    </w:p>
    <w:bookmarkEnd w:id="20"/>
    <w:bookmarkStart w:id="24" w:name="problem-statement"/>
    <w:p>
      <w:pPr>
        <w:pStyle w:val="Heading2"/>
      </w:pPr>
      <w:r>
        <w:rPr>
          <w:rStyle w:val="SectionNumber"/>
        </w:rPr>
        <w:t xml:space="preserve">1.2</w:t>
      </w:r>
      <w:r>
        <w:tab/>
      </w:r>
      <w:r>
        <w:t xml:space="preserve">Problem Statement</w:t>
      </w:r>
    </w:p>
    <w:p>
      <w:pPr>
        <w:pStyle w:val="FirstParagraph"/>
      </w:pPr>
      <w:r>
        <w:t xml:space="preserve">Healthcare organizations face three critical, interconnected challenges that collectively threaten their ability to become data-driven enterprises:</w:t>
      </w:r>
    </w:p>
    <w:bookmarkStart w:id="21" w:name="low-healthcare-analytics-maturity"/>
    <w:p>
      <w:pPr>
        <w:pStyle w:val="Heading3"/>
      </w:pPr>
      <w:r>
        <w:rPr>
          <w:rStyle w:val="SectionNumber"/>
        </w:rPr>
        <w:t xml:space="preserve">1.2.1</w:t>
      </w:r>
      <w:r>
        <w:tab/>
      </w:r>
      <w:r>
        <w:t xml:space="preserve">Low Healthcare Analytics Maturity</w:t>
      </w:r>
    </w:p>
    <w:p>
      <w:pPr>
        <w:pStyle w:val="FirstParagraph"/>
      </w:pPr>
      <w:r>
        <w:t xml:space="preserve">Despite massive investments in electronic health records and data infrastructure, healthcare organizations struggle to advance beyond basic reporting capabilities. The HIMSS AMAM reveals that most organizations remain at Stages 0-3, characterized by fragmented data sources,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 and operational optimization.</w:t>
      </w:r>
    </w:p>
    <w:bookmarkEnd w:id="21"/>
    <w:bookmarkStart w:id="22" w:name="technical-barriers-to-data-access"/>
    <w:p>
      <w:pPr>
        <w:pStyle w:val="Heading3"/>
      </w:pPr>
      <w:r>
        <w:rPr>
          <w:rStyle w:val="SectionNumber"/>
        </w:rPr>
        <w:t xml:space="preserve">1.2.2</w:t>
      </w:r>
      <w:r>
        <w:tab/>
      </w:r>
      <w:r>
        <w:t xml:space="preserve">Technical Barriers to Data Access</w:t>
      </w:r>
    </w:p>
    <w:p>
      <w:pPr>
        <w:pStyle w:val="FirstParagraph"/>
      </w:pPr>
      <w:r>
        <w:t xml:space="preserve">Healthcare professionals possess deep clinical knowledge but lack the technical skills required for data analysis. Traditional analytics tools require SQL expertise, statistical knowledge, and familiarity with complex database schemas, capabilities that clinical staff often do not possess nor have time to develop. This creates a fundamental disconnect between those who understand the clinical questions and those who can access the data to answer them</w:t>
      </w:r>
      <w:r>
        <w:t xml:space="preserve"> </w:t>
      </w:r>
      <w:r>
        <w:t xml:space="preserve">(</w:t>
      </w:r>
      <w:hyperlink w:anchor="ref-wang2018">
        <w:r>
          <w:rPr>
            <w:rStyle w:val="Hyperlink"/>
          </w:rPr>
          <w:t xml:space="preserve">5</w:t>
        </w:r>
      </w:hyperlink>
      <w:r>
        <w:t xml:space="preserve">)</w:t>
      </w:r>
      <w:r>
        <w:t xml:space="preserve">,</w:t>
      </w:r>
      <w:r>
        <w:t xml:space="preserve"> </w:t>
      </w:r>
      <w:r>
        <w:t xml:space="preserve">(</w:t>
      </w:r>
      <w:hyperlink w:anchor="ref-bardsley2016">
        <w:r>
          <w:rPr>
            <w:rStyle w:val="Hyperlink"/>
          </w:rPr>
          <w:t xml:space="preserve">6</w:t>
        </w:r>
      </w:hyperlink>
      <w:r>
        <w:t xml:space="preserve">)</w:t>
      </w:r>
      <w:r>
        <w:t xml:space="preserve">,</w:t>
      </w:r>
      <w:r>
        <w:t xml:space="preserve"> </w:t>
      </w:r>
      <w:r>
        <w:t xml:space="preserve">(</w:t>
      </w:r>
      <w:hyperlink w:anchor="ref-pesqueira2020">
        <w:r>
          <w:rPr>
            <w:rStyle w:val="Hyperlink"/>
          </w:rPr>
          <w:t xml:space="preserve">7</w:t>
        </w:r>
      </w:hyperlink>
      <w:r>
        <w:t xml:space="preserve">)</w:t>
      </w:r>
      <w:r>
        <w:t xml:space="preserve">. Drawing on principles from code modernization, AI-assisted interfaces can bridge this gap by transforming legacy technical requirements into natural language interactions</w:t>
      </w:r>
      <w:r>
        <w:t xml:space="preserve"> </w:t>
      </w:r>
      <w:r>
        <w:t xml:space="preserve">(</w:t>
      </w:r>
      <w:hyperlink w:anchor="ref-anthropic2025">
        <w:r>
          <w:rPr>
            <w:rStyle w:val="Hyperlink"/>
          </w:rPr>
          <w:t xml:space="preserve">8</w:t>
        </w:r>
      </w:hyperlink>
      <w:r>
        <w:t xml:space="preserve">)</w:t>
      </w:r>
      <w:r>
        <w:t xml:space="preserve">. Foundational research on natural language interfaces to databases established that modular architecture principles enable effective bridging of legacy data access challenges</w:t>
      </w:r>
      <w:r>
        <w:t xml:space="preserve"> </w:t>
      </w:r>
      <w:r>
        <w:t xml:space="preserve">(</w:t>
      </w:r>
      <w:hyperlink w:anchor="ref-hendrix1978">
        <w:r>
          <w:rPr>
            <w:rStyle w:val="Hyperlink"/>
          </w:rPr>
          <w:t xml:space="preserve">9</w:t>
        </w:r>
      </w:hyperlink>
      <w:r>
        <w:t xml:space="preserve">)</w:t>
      </w:r>
      <w:r>
        <w:t xml:space="preserve">, with modern implementations demonstrating that the same large language models underlying code modernization can serve as natural language interfaces to legacy systems</w:t>
      </w:r>
      <w:r>
        <w:t xml:space="preserve"> </w:t>
      </w:r>
      <w:r>
        <w:t xml:space="preserve">(</w:t>
      </w:r>
      <w:hyperlink w:anchor="ref-ogunwole2023">
        <w:r>
          <w:rPr>
            <w:rStyle w:val="Hyperlink"/>
          </w:rPr>
          <w:t xml:space="preserve">10</w:t>
        </w:r>
      </w:hyperlink>
      <w:r>
        <w:t xml:space="preserve">)</w:t>
      </w:r>
      <w:r>
        <w:t xml:space="preserve">,</w:t>
      </w:r>
      <w:r>
        <w:t xml:space="preserve"> </w:t>
      </w:r>
      <w:r>
        <w:t xml:space="preserve">(</w:t>
      </w:r>
      <w:hyperlink w:anchor="ref-arora2025">
        <w:r>
          <w:rPr>
            <w:rStyle w:val="Hyperlink"/>
          </w:rPr>
          <w:t xml:space="preserve">11</w:t>
        </w:r>
      </w:hyperlink>
      <w:r>
        <w:t xml:space="preserve">)</w:t>
      </w:r>
      <w:r>
        <w:t xml:space="preserve">.</w:t>
      </w:r>
    </w:p>
    <w:bookmarkEnd w:id="22"/>
    <w:bookmarkStart w:id="23" w:name="Xbcc4dadd7fefc7631b0e8a8a9c4816ce0327f63"/>
    <w:p>
      <w:pPr>
        <w:pStyle w:val="Heading3"/>
      </w:pPr>
      <w:r>
        <w:rPr>
          <w:rStyle w:val="SectionNumber"/>
        </w:rPr>
        <w:t xml:space="preserve">1.2.3</w:t>
      </w:r>
      <w:r>
        <w:tab/>
      </w:r>
      <w:r>
        <w:t xml:space="preserve">Institutional Memory Loss from Workforce Turnover</w:t>
      </w:r>
    </w:p>
    <w:p>
      <w:pPr>
        <w:pStyle w:val="FirstParagraph"/>
      </w:pPr>
      <w:r>
        <w:t xml:space="preserve">A 2004 study found healthcare IT staff experienced the lowest expected tenure for new hires among IT sectors at just 2.9 years, implying a ~34% turnover rate for incoming talent</w:t>
      </w:r>
      <w:r>
        <w:t xml:space="preserve"> </w:t>
      </w:r>
      <w:r>
        <w:t xml:space="preserve">(</w:t>
      </w:r>
      <w:hyperlink w:anchor="ref-ang2004">
        <w:r>
          <w:rPr>
            <w:rStyle w:val="Hyperlink"/>
          </w:rPr>
          <w:t xml:space="preserve">4</w:t>
        </w:r>
      </w:hyperlink>
      <w:r>
        <w:t xml:space="preserve">)</w:t>
      </w:r>
      <w:r>
        <w:t xml:space="preserve">. This contrasts with a lower general turnover rate of 15.5%, highlighting a specific crisis in retaining the new skills needed for modernization. This creates significant institutional memory loss. When experienced analysts, clinical informatics professionals, or data-savvy clinicians leave, they take with them irreplaceable knowledge about data definitions, business rules, analytical approaches, and organizational context. This knowledge proves extremely difficult to document and transfer through traditional means.</w:t>
      </w:r>
    </w:p>
    <w:p>
      <w:pPr>
        <w:pStyle w:val="BodyText"/>
      </w:pPr>
      <w:r>
        <w:t xml:space="preserve">The implications are measurable in operational terms and patient care quality. Organizations continue investing in analytics infrastructure while struggling to realize value from their data assets. Empirical research demonstrates that a 10-percentage-point increase in nursing staff turnover is associated with 0.241 additional health inspection citations and decreased assessment-based quality measures</w:t>
      </w:r>
      <w:r>
        <w:t xml:space="preserve"> </w:t>
      </w:r>
      <w:r>
        <w:t xml:space="preserve">(</w:t>
      </w:r>
      <w:hyperlink w:anchor="ref-shen2023">
        <w:r>
          <w:rPr>
            <w:rStyle w:val="Hyperlink"/>
          </w:rPr>
          <w:t xml:space="preserve">12</w:t>
        </w:r>
      </w:hyperlink>
      <w:r>
        <w:t xml:space="preserve">)</w:t>
      </w:r>
      <w:r>
        <w:t xml:space="preserve">.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13</w:t>
        </w:r>
      </w:hyperlink>
      <w:r>
        <w:t xml:space="preserve">)</w:t>
      </w:r>
      <w:r>
        <w:t xml:space="preserve">. Technical barriers remain pervasive, with 68% of healthcare organizations citing data interoperability as the leading obstacle to analytics adoption, followed by privacy concerns (64%) and insufficient staff training (59%)</w:t>
      </w:r>
      <w:r>
        <w:t xml:space="preserve"> </w:t>
      </w:r>
      <w:r>
        <w:t xml:space="preserve">(</w:t>
      </w:r>
      <w:hyperlink w:anchor="ref-khan2023">
        <w:r>
          <w:rPr>
            <w:rStyle w:val="Hyperlink"/>
          </w:rPr>
          <w:t xml:space="preserve">14</w:t>
        </w:r>
      </w:hyperlink>
      <w:r>
        <w:t xml:space="preserve">)</w:t>
      </w:r>
      <w:r>
        <w:t xml:space="preserve">. Physician technology adoption faces empirically validated barriers including perceived threat and inequity from workflow changes, directly impacting behavioral intentions toward analytics tools</w:t>
      </w:r>
      <w:r>
        <w:t xml:space="preserve"> </w:t>
      </w:r>
      <w:r>
        <w:t xml:space="preserve">(</w:t>
      </w:r>
      <w:hyperlink w:anchor="ref-lin2012">
        <w:r>
          <w:rPr>
            <w:rStyle w:val="Hyperlink"/>
          </w:rPr>
          <w:t xml:space="preserve">15</w:t>
        </w:r>
      </w:hyperlink>
      <w:r>
        <w:t xml:space="preserve">)</w:t>
      </w:r>
      <w:r>
        <w:t xml:space="preserve">. These three interconnected challenges represent operational inefficiencies with demonstrated implications for healthcare delivery.</w:t>
      </w:r>
    </w:p>
    <w:bookmarkEnd w:id="23"/>
    <w:bookmarkEnd w:id="24"/>
    <w:bookmarkStart w:id="28" w:name="objectives"/>
    <w:p>
      <w:pPr>
        <w:pStyle w:val="Heading2"/>
      </w:pPr>
      <w:r>
        <w:rPr>
          <w:rStyle w:val="SectionNumber"/>
        </w:rPr>
        <w:t xml:space="preserve">1.3</w:t>
      </w:r>
      <w:r>
        <w:tab/>
      </w:r>
      <w:r>
        <w:t xml:space="preserve">Objectives</w:t>
      </w:r>
    </w:p>
    <w:p>
      <w:pPr>
        <w:pStyle w:val="FirstParagraph"/>
      </w:pPr>
      <w:r>
        <w:t xml:space="preserve">This research aims to develop and validate an analytical framework for understanding healthcare’s interconnected analytics challenges. Specific objectives include:</w:t>
      </w:r>
    </w:p>
    <w:bookmarkStart w:id="25" w:name="primary-objective"/>
    <w:p>
      <w:pPr>
        <w:pStyle w:val="Heading3"/>
      </w:pPr>
      <w:r>
        <w:rPr>
          <w:rStyle w:val="SectionNumber"/>
        </w:rPr>
        <w:t xml:space="preserve">1.3.1</w:t>
      </w:r>
      <w:r>
        <w:tab/>
      </w:r>
      <w:r>
        <w:t xml:space="preserve">Primary Objective</w:t>
      </w:r>
    </w:p>
    <w:p>
      <w:pPr>
        <w:pStyle w:val="FirstParagraph"/>
      </w:pPr>
      <w:r>
        <w:t xml:space="preserve">Develop and validate a three-pillar analytical framework for understanding how healthcare analytics maturity gaps, workforce turnover, and technical barriers interconnect and compound each other.</w:t>
      </w:r>
    </w:p>
    <w:bookmarkEnd w:id="25"/>
    <w:bookmarkStart w:id="26" w:name="secondary-objectives"/>
    <w:p>
      <w:pPr>
        <w:pStyle w:val="Heading3"/>
      </w:pPr>
      <w:r>
        <w:rPr>
          <w:rStyle w:val="SectionNumber"/>
        </w:rPr>
        <w:t xml:space="preserve">1.3.2</w:t>
      </w:r>
      <w:r>
        <w:tab/>
      </w:r>
      <w:r>
        <w:t xml:space="preserve">Secondary Objectives</w:t>
      </w:r>
    </w:p>
    <w:p>
      <w:pPr>
        <w:pStyle w:val="Compact"/>
        <w:numPr>
          <w:ilvl w:val="0"/>
          <w:numId w:val="1001"/>
        </w:numPr>
      </w:pPr>
      <w:r>
        <w:rPr>
          <w:b/>
          <w:bCs/>
        </w:rPr>
        <w:t xml:space="preserve">Synthesize current evidence</w:t>
      </w:r>
      <w:r>
        <w:t xml:space="preserve"> </w:t>
      </w:r>
      <w:r>
        <w:t xml:space="preserve">on natural language to SQL generation as one dimension of technical barriers</w:t>
      </w:r>
    </w:p>
    <w:p>
      <w:pPr>
        <w:pStyle w:val="Compact"/>
        <w:numPr>
          <w:ilvl w:val="0"/>
          <w:numId w:val="1001"/>
        </w:numPr>
      </w:pPr>
      <w:r>
        <w:rPr>
          <w:b/>
          <w:bCs/>
        </w:rPr>
        <w:t xml:space="preserve">Document the extent</w:t>
      </w:r>
      <w:r>
        <w:t xml:space="preserve"> </w:t>
      </w:r>
      <w:r>
        <w:t xml:space="preserve">of analytics maturity challenges across healthcare organizations globally</w:t>
      </w:r>
    </w:p>
    <w:p>
      <w:pPr>
        <w:pStyle w:val="Compact"/>
        <w:numPr>
          <w:ilvl w:val="0"/>
          <w:numId w:val="1001"/>
        </w:numPr>
      </w:pPr>
      <w:r>
        <w:rPr>
          <w:b/>
          <w:bCs/>
        </w:rPr>
        <w:t xml:space="preserve">Quantify the impact</w:t>
      </w:r>
      <w:r>
        <w:t xml:space="preserve"> </w:t>
      </w:r>
      <w:r>
        <w:t xml:space="preserve">of workforce turnover on institutional memory and analytics capabilities</w:t>
      </w:r>
    </w:p>
    <w:p>
      <w:pPr>
        <w:pStyle w:val="Compact"/>
        <w:numPr>
          <w:ilvl w:val="0"/>
          <w:numId w:val="1001"/>
        </w:numPr>
      </w:pPr>
      <w:r>
        <w:rPr>
          <w:b/>
          <w:bCs/>
        </w:rPr>
        <w:t xml:space="preserve">Reveal interconnections</w:t>
      </w:r>
      <w:r>
        <w:t xml:space="preserve"> </w:t>
      </w:r>
      <w:r>
        <w:t xml:space="preserve">between the three pillars through evidence synthesis</w:t>
      </w:r>
    </w:p>
    <w:p>
      <w:pPr>
        <w:pStyle w:val="Compact"/>
        <w:numPr>
          <w:ilvl w:val="0"/>
          <w:numId w:val="1001"/>
        </w:numPr>
      </w:pPr>
      <w:r>
        <w:rPr>
          <w:b/>
          <w:bCs/>
        </w:rPr>
        <w:t xml:space="preserve">Provide assessment rubric</w:t>
      </w:r>
      <w:r>
        <w:t xml:space="preserve"> </w:t>
      </w:r>
      <w:r>
        <w:t xml:space="preserve">for organizational self-evaluation using the framework</w:t>
      </w:r>
    </w:p>
    <w:bookmarkEnd w:id="26"/>
    <w:bookmarkStart w:id="27" w:name="non-goals"/>
    <w:p>
      <w:pPr>
        <w:pStyle w:val="Heading3"/>
      </w:pPr>
      <w:r>
        <w:rPr>
          <w:rStyle w:val="SectionNumber"/>
        </w:rPr>
        <w:t xml:space="preserve">1.3.3</w:t>
      </w:r>
      <w:r>
        <w:tab/>
      </w:r>
      <w:r>
        <w:t xml:space="preserve">Non-Goals</w:t>
      </w:r>
    </w:p>
    <w:p>
      <w:pPr>
        <w:pStyle w:val="FirstParagraph"/>
      </w:pPr>
      <w:r>
        <w:t xml:space="preserve">This research explicitly does not address:</w:t>
      </w:r>
    </w:p>
    <w:p>
      <w:pPr>
        <w:pStyle w:val="Compact"/>
        <w:numPr>
          <w:ilvl w:val="0"/>
          <w:numId w:val="1002"/>
        </w:numPr>
      </w:pPr>
      <w:r>
        <w:t xml:space="preserve">Specific vendor comparisons or product recommendations</w:t>
      </w:r>
    </w:p>
    <w:p>
      <w:pPr>
        <w:pStyle w:val="Compact"/>
        <w:numPr>
          <w:ilvl w:val="0"/>
          <w:numId w:val="1002"/>
        </w:numPr>
      </w:pPr>
      <w:r>
        <w:t xml:space="preserve">Implementation details for particular healthcare IT environments</w:t>
      </w:r>
    </w:p>
    <w:p>
      <w:pPr>
        <w:pStyle w:val="Compact"/>
        <w:numPr>
          <w:ilvl w:val="0"/>
          <w:numId w:val="1002"/>
        </w:numPr>
      </w:pPr>
      <w:r>
        <w:t xml:space="preserve">Regulatory compliance strategies for specific jurisdictions</w:t>
      </w:r>
    </w:p>
    <w:p>
      <w:pPr>
        <w:pStyle w:val="Compact"/>
        <w:numPr>
          <w:ilvl w:val="0"/>
          <w:numId w:val="1002"/>
        </w:numPr>
      </w:pPr>
      <w:r>
        <w:t xml:space="preserve">Technical architecture specifications for conversational AI systems</w:t>
      </w:r>
    </w:p>
    <w:p>
      <w:pPr>
        <w:pStyle w:val="FirstParagraph"/>
      </w:pPr>
      <w:r>
        <w:t xml:space="preserve">Note: Analysis of market dynamics and structural factors explaining why institution-specific analytics challenges persist is within scope. This market-level analysis provides necessary context for evaluating solution approaches and differs from product comparison, which would evaluate specific vendor offerings against each other or recommend particular products.</w:t>
      </w:r>
    </w:p>
    <w:bookmarkEnd w:id="27"/>
    <w:bookmarkEnd w:id="28"/>
    <w:bookmarkStart w:id="32" w:name="contributions"/>
    <w:p>
      <w:pPr>
        <w:pStyle w:val="Heading2"/>
      </w:pPr>
      <w:r>
        <w:rPr>
          <w:rStyle w:val="SectionNumber"/>
        </w:rPr>
        <w:t xml:space="preserve">1.4</w:t>
      </w:r>
      <w:r>
        <w:tab/>
      </w:r>
      <w:r>
        <w:t xml:space="preserve">Contributions</w:t>
      </w:r>
    </w:p>
    <w:p>
      <w:pPr>
        <w:pStyle w:val="FirstParagraph"/>
      </w:pPr>
      <w:r>
        <w:t xml:space="preserve">This paper makes the following contributions to the healthcare informatics literature:</w:t>
      </w:r>
    </w:p>
    <w:p>
      <w:pPr>
        <w:numPr>
          <w:ilvl w:val="0"/>
          <w:numId w:val="1003"/>
        </w:numPr>
      </w:pPr>
      <w:r>
        <w:rPr>
          <w:b/>
          <w:bCs/>
        </w:rPr>
        <w:t xml:space="preserve">Three-Pillar Analytical Framework</w:t>
      </w:r>
      <w:r>
        <w:t xml:space="preserve"> </w:t>
      </w:r>
      <w:r>
        <w:t xml:space="preserve">(Primary Contribution): We synthesize evidence from three previously disconnected research domains (healthcare analytics maturity, workforce turnover, and natural language processing) into a unified analytical framework that reveals how these challenges interconnect and compound each other: low maturity accelerates turnover, turnover degrades maturity, and technical barriers prevent recovery from either. This framework provides an analytical lens for organizational self-assessment and research prioritization.</w:t>
      </w:r>
    </w:p>
    <w:p>
      <w:pPr>
        <w:numPr>
          <w:ilvl w:val="0"/>
          <w:numId w:val="1003"/>
        </w:numPr>
      </w:pPr>
      <w:r>
        <w:rPr>
          <w:b/>
          <w:bCs/>
        </w:rPr>
        <w:t xml:space="preserve">Evidence Synthesis Across Domains</w:t>
      </w:r>
      <w:r>
        <w:t xml:space="preserve">: We document the current state of each pillar through comprehensive literature review, providing healthcare organizations with consolidated evidence on analytics maturity benchmarks, workforce turnover impacts, and NL2SQL technical capabilities.</w:t>
      </w:r>
    </w:p>
    <w:p>
      <w:pPr>
        <w:numPr>
          <w:ilvl w:val="0"/>
          <w:numId w:val="1003"/>
        </w:numPr>
      </w:pPr>
      <w:r>
        <w:rPr>
          <w:b/>
          <w:bCs/>
        </w:rPr>
        <w:t xml:space="preserve">Illustrative Application</w:t>
      </w:r>
      <w:r>
        <w:t xml:space="preserve">: Drawing on established knowledge management literature</w:t>
      </w:r>
      <w:r>
        <w:t xml:space="preserve"> </w:t>
      </w:r>
      <w:r>
        <w:t xml:space="preserve">(</w:t>
      </w:r>
      <w:hyperlink w:anchor="ref-benbya2004">
        <w:r>
          <w:rPr>
            <w:rStyle w:val="Hyperlink"/>
          </w:rPr>
          <w:t xml:space="preserve">16</w:t>
        </w:r>
      </w:hyperlink>
      <w:r>
        <w:t xml:space="preserve">,</w:t>
      </w:r>
      <w:hyperlink w:anchor="ref-richesson2007">
        <w:r>
          <w:rPr>
            <w:rStyle w:val="Hyperlink"/>
          </w:rPr>
          <w:t xml:space="preserve">17</w:t>
        </w:r>
      </w:hyperlink>
      <w:r>
        <w:t xml:space="preserve">)</w:t>
      </w:r>
      <w:r>
        <w:t xml:space="preserve">, we describe the validated query cycle as one example of how the framework might inform technology design. This architecture concept addresses institutional memory loss through six steps: (1) domain experts ask natural language questions, (2) the system generates candidate SQL, (3) experts validate and correct the SQL, (4) validated NL+SQL pairs are stored in organizational memory, (5) future queries retrieve validated pairs, and (6) knowledge persists independent of staff tenure. Figure 1 illustrates this architecture, and Figure 2 details the validated query cycle.</w:t>
      </w:r>
    </w:p>
    <w:bookmarkStart w:id="29" w:name="Xb008ed5cb3c3dec64a7edfe8c13274574b21783"/>
    <w:p>
      <w:pPr>
        <w:pStyle w:val="Heading3"/>
      </w:pPr>
      <w:r>
        <w:rPr>
          <w:rStyle w:val="SectionNumber"/>
        </w:rPr>
        <w:t xml:space="preserve">1.4.1</w:t>
      </w:r>
      <w:r>
        <w:tab/>
      </w:r>
      <w:r>
        <w:t xml:space="preserve">Illustrative Application: The Validated Query Cycle</w:t>
      </w:r>
    </w:p>
    <w:p>
      <w:pPr>
        <w:pStyle w:val="FirstParagraph"/>
      </w:pPr>
      <w:r>
        <w:t xml:space="preserve">To demonstrate how the three-pillar framework might inform technology design, we describe a validated query cycle that could address institutional memory loss (Pillar 2) while reducing technical barriers (Pillar 3). This six-step cycle (Figure 2) illustrates one approach:</w:t>
      </w:r>
    </w:p>
    <w:p>
      <w:pPr>
        <w:numPr>
          <w:ilvl w:val="0"/>
          <w:numId w:val="1004"/>
        </w:numPr>
      </w:pPr>
      <w:r>
        <w:rPr>
          <w:b/>
          <w:bCs/>
        </w:rPr>
        <w:t xml:space="preserve">Query</w:t>
      </w:r>
      <w:r>
        <w:t xml:space="preserve">: A domain expert (clinician, analyst, or administrator) asks a natural language question about organizational data, such as</w:t>
      </w:r>
      <w:r>
        <w:t xml:space="preserve"> </w:t>
      </w:r>
      <w:r>
        <w:t xml:space="preserve">“</w:t>
      </w:r>
      <w:r>
        <w:t xml:space="preserve">What was our 30-day readmission rate for heart failure patients last quarter?</w:t>
      </w:r>
      <w:r>
        <w:t xml:space="preserve">”</w:t>
      </w:r>
    </w:p>
    <w:p>
      <w:pPr>
        <w:numPr>
          <w:ilvl w:val="0"/>
          <w:numId w:val="1004"/>
        </w:numPr>
      </w:pPr>
      <w:r>
        <w:rPr>
          <w:b/>
          <w:bCs/>
        </w:rPr>
        <w:t xml:space="preserve">Generation</w:t>
      </w:r>
      <w:r>
        <w:t xml:space="preserve">: The conversational AI system generates candidate SQL code from the natural language input, leveraging healthcare ontologies and organizational schema knowledge to produce syntactically correct queries.</w:t>
      </w:r>
    </w:p>
    <w:p>
      <w:pPr>
        <w:numPr>
          <w:ilvl w:val="0"/>
          <w:numId w:val="1004"/>
        </w:numPr>
      </w:pPr>
      <w:r>
        <w:rPr>
          <w:b/>
          <w:bCs/>
        </w:rPr>
        <w:t xml:space="preserve">Validation</w:t>
      </w:r>
      <w:r>
        <w:t xml:space="preserve">: The domain expert reviews the generated SQL and its results, confirming correctness or providing corrections. This human-in-the-loop step is essential because current NL2SQL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18</w:t>
        </w:r>
      </w:hyperlink>
      <w:r>
        <w:t xml:space="preserve">)</w:t>
      </w:r>
      <w:r>
        <w:t xml:space="preserve">.</w:t>
      </w:r>
    </w:p>
    <w:p>
      <w:pPr>
        <w:numPr>
          <w:ilvl w:val="0"/>
          <w:numId w:val="1004"/>
        </w:numPr>
      </w:pPr>
      <w:r>
        <w:rPr>
          <w:b/>
          <w:bCs/>
        </w:rPr>
        <w:t xml:space="preserve">Storage</w:t>
      </w:r>
      <w:r>
        <w:t xml:space="preserve">: Once validated, the NL+SQL pair is stored in organizational memory as a durable knowledge artifact. This pair represents tested, executable knowledge: a verified mapping from a business question to the correct data retrieval logic.</w:t>
      </w:r>
    </w:p>
    <w:p>
      <w:pPr>
        <w:numPr>
          <w:ilvl w:val="0"/>
          <w:numId w:val="1004"/>
        </w:numPr>
      </w:pPr>
      <w:r>
        <w:rPr>
          <w:b/>
          <w:bCs/>
        </w:rPr>
        <w:t xml:space="preserve">Retrieval</w:t>
      </w:r>
      <w:r>
        <w:t xml:space="preserve">: When future users ask similar questions, the system retrieves relevant validated pairs, either returning exact matches or using them to inform new query generation. This reduces dependence on individual expertise.</w:t>
      </w:r>
    </w:p>
    <w:p>
      <w:pPr>
        <w:numPr>
          <w:ilvl w:val="0"/>
          <w:numId w:val="1004"/>
        </w:numPr>
      </w:pPr>
      <w:r>
        <w:rPr>
          <w:b/>
          <w:bCs/>
        </w:rPr>
        <w:t xml:space="preserve">Persistence</w:t>
      </w:r>
      <w:r>
        <w:t xml:space="preserve">: When the original expert leaves the organization, their analytical knowledge remains embedded in validated query pairs. New staff inherit executable knowledge rather than starting from scratch or relying on incomplete documentation.</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9"/>
    <w:bookmarkStart w:id="30" w:name="governance-the-validator-paradox"/>
    <w:p>
      <w:pPr>
        <w:pStyle w:val="Heading3"/>
      </w:pPr>
      <w:r>
        <w:rPr>
          <w:rStyle w:val="SectionNumber"/>
        </w:rPr>
        <w:t xml:space="preserve">1.4.2</w:t>
      </w:r>
      <w:r>
        <w:tab/>
      </w:r>
      <w:r>
        <w:t xml:space="preserve">Governance: The Validator Paradox</w:t>
      </w:r>
    </w:p>
    <w:p>
      <w:pPr>
        <w:pStyle w:val="FirstParagraph"/>
      </w:pPr>
      <w:r>
        <w:t xml:space="preserve">A critical challenge in this cycle is the</w:t>
      </w:r>
      <w:r>
        <w:t xml:space="preserve"> </w:t>
      </w:r>
      <w:r>
        <w:t xml:space="preserve">“</w:t>
      </w:r>
      <w:r>
        <w:t xml:space="preserve">Validator Paradox</w:t>
      </w:r>
      <w:r>
        <w:t xml:space="preserve">”</w:t>
      </w:r>
      <w:r>
        <w:t xml:space="preserve">: the need for experts to validate AI-generated queries despite high turnover removing those very experts. To mitigate this, we propose a Tiered Trust Protocol:</w:t>
      </w:r>
    </w:p>
    <w:p>
      <w:pPr>
        <w:pStyle w:val="Compact"/>
        <w:numPr>
          <w:ilvl w:val="0"/>
          <w:numId w:val="1005"/>
        </w:numPr>
      </w:pPr>
      <w:r>
        <w:rPr>
          <w:b/>
          <w:bCs/>
        </w:rPr>
        <w:t xml:space="preserve">Tier 3: Exploratory (Sandbox Only)</w:t>
      </w:r>
      <w:r>
        <w:t xml:space="preserve">: Ad-hoc exploration on de-identified data. Self-service validation where the user assumes all risk. No decision-making permitted.</w:t>
      </w:r>
    </w:p>
    <w:p>
      <w:pPr>
        <w:pStyle w:val="Compact"/>
        <w:numPr>
          <w:ilvl w:val="0"/>
          <w:numId w:val="1005"/>
        </w:numPr>
      </w:pPr>
      <w:r>
        <w:rPr>
          <w:b/>
          <w:bCs/>
        </w:rPr>
        <w:t xml:space="preserve">Tier 2: Operational (Departmental)</w:t>
      </w:r>
      <w:r>
        <w:t xml:space="preserve">: Internal reporting. Requires peer review by one Senior Analyst before automation.</w:t>
      </w:r>
    </w:p>
    <w:p>
      <w:pPr>
        <w:pStyle w:val="Compact"/>
        <w:numPr>
          <w:ilvl w:val="0"/>
          <w:numId w:val="1005"/>
        </w:numPr>
      </w:pPr>
      <w:r>
        <w:rPr>
          <w:b/>
          <w:bCs/>
        </w:rPr>
        <w:t xml:space="preserve">Tier 1: Clinical Safety (Gold Standard)</w:t>
      </w:r>
      <w:r>
        <w:t xml:space="preserve">: Patient care decisions and external reporting. Requires dual-signature validation from a Clinical Subject Matter Expert and a Lead Data Engineer.</w:t>
      </w:r>
    </w:p>
    <w:p>
      <w:pPr>
        <w:pStyle w:val="FirstParagraph"/>
      </w:pPr>
      <w:r>
        <w:t xml:space="preserve">To prevent</w:t>
      </w:r>
      <w:r>
        <w:t xml:space="preserve"> </w:t>
      </w:r>
      <w:r>
        <w:t xml:space="preserve">“</w:t>
      </w:r>
      <w:r>
        <w:t xml:space="preserve">the blind leading the blind,</w:t>
      </w:r>
      <w:r>
        <w:t xml:space="preserve">”</w:t>
      </w:r>
      <w:r>
        <w:t xml:space="preserve"> </w:t>
      </w:r>
      <w:r>
        <w:t xml:space="preserve">validators for Tier 1 queries must be designated</w:t>
      </w:r>
      <w:r>
        <w:t xml:space="preserve"> </w:t>
      </w:r>
      <w:r>
        <w:rPr>
          <w:b/>
          <w:bCs/>
        </w:rPr>
        <w:t xml:space="preserve">Clinical Data Stewards</w:t>
      </w:r>
      <w:r>
        <w:t xml:space="preserve"> </w:t>
      </w:r>
      <w:r>
        <w:t xml:space="preserve">with verified experience in the specific EHR schema and clinical workflow certification.</w:t>
      </w:r>
    </w:p>
    <w:bookmarkEnd w:id="30"/>
    <w:bookmarkStart w:id="31" w:name="X6916106115a7d1176e3024cacf0ef47e816f4e4"/>
    <w:p>
      <w:pPr>
        <w:pStyle w:val="Heading3"/>
      </w:pPr>
      <w:r>
        <w:rPr>
          <w:rStyle w:val="SectionNumber"/>
        </w:rPr>
        <w:t xml:space="preserve">1.4.3</w:t>
      </w:r>
      <w:r>
        <w:tab/>
      </w:r>
      <w:r>
        <w:t xml:space="preserve">Technical Resilience: Managing Schema Drift</w:t>
      </w:r>
    </w:p>
    <w:p>
      <w:pPr>
        <w:pStyle w:val="FirstParagraph"/>
      </w:pPr>
      <w:r>
        <w:t xml:space="preserve">Stored queries face the risk of</w:t>
      </w:r>
      <w:r>
        <w:t xml:space="preserve"> </w:t>
      </w:r>
      <w:r>
        <w:t xml:space="preserve">“</w:t>
      </w:r>
      <w:r>
        <w:t xml:space="preserve">Schema Drift,</w:t>
      </w:r>
      <w:r>
        <w:t xml:space="preserve">”</w:t>
      </w:r>
      <w:r>
        <w:t xml:space="preserve"> </w:t>
      </w:r>
      <w:r>
        <w:t xml:space="preserve">where database updates (e.g., quarterly EHR upgrades) break existing logic. The framework addresses this through</w:t>
      </w:r>
      <w:r>
        <w:t xml:space="preserve"> </w:t>
      </w:r>
      <w:r>
        <w:rPr>
          <w:b/>
          <w:bCs/>
        </w:rPr>
        <w:t xml:space="preserve">Continuous Knowledge Integration</w:t>
      </w:r>
      <w:r>
        <w:t xml:space="preserve">:</w:t>
      </w:r>
    </w:p>
    <w:p>
      <w:pPr>
        <w:pStyle w:val="Compact"/>
        <w:numPr>
          <w:ilvl w:val="0"/>
          <w:numId w:val="1006"/>
        </w:numPr>
      </w:pPr>
      <w:r>
        <w:rPr>
          <w:b/>
          <w:bCs/>
        </w:rPr>
        <w:t xml:space="preserve">Automated Regression Testing</w:t>
      </w:r>
      <w:r>
        <w:t xml:space="preserve">: Every</w:t>
      </w:r>
      <w:r>
        <w:t xml:space="preserve"> </w:t>
      </w:r>
      <w:r>
        <w:t xml:space="preserve">“</w:t>
      </w:r>
      <w:r>
        <w:t xml:space="preserve">Gold Standard</w:t>
      </w:r>
      <w:r>
        <w:t xml:space="preserve">”</w:t>
      </w:r>
      <w:r>
        <w:t xml:space="preserve"> </w:t>
      </w:r>
      <w:r>
        <w:t xml:space="preserve">query is stored with its original natural language question and a synthetic</w:t>
      </w:r>
      <w:r>
        <w:t xml:space="preserve"> </w:t>
      </w:r>
      <w:r>
        <w:t xml:space="preserve">“</w:t>
      </w:r>
      <w:r>
        <w:t xml:space="preserve">Test Data</w:t>
      </w:r>
      <w:r>
        <w:t xml:space="preserve">”</w:t>
      </w:r>
      <w:r>
        <w:t xml:space="preserve"> </w:t>
      </w:r>
      <w:r>
        <w:t xml:space="preserve">expectation.</w:t>
      </w:r>
    </w:p>
    <w:p>
      <w:pPr>
        <w:pStyle w:val="Compact"/>
        <w:numPr>
          <w:ilvl w:val="0"/>
          <w:numId w:val="1006"/>
        </w:numPr>
      </w:pPr>
      <w:r>
        <w:rPr>
          <w:b/>
          <w:bCs/>
        </w:rPr>
        <w:t xml:space="preserve">Pre-Upgrade Dry Run</w:t>
      </w:r>
      <w:r>
        <w:t xml:space="preserve">: All stored queries are executed against upgrade preview environments.</w:t>
      </w:r>
    </w:p>
    <w:p>
      <w:pPr>
        <w:pStyle w:val="Compact"/>
        <w:numPr>
          <w:ilvl w:val="0"/>
          <w:numId w:val="1006"/>
        </w:numPr>
      </w:pPr>
      <w:r>
        <w:rPr>
          <w:b/>
          <w:bCs/>
        </w:rPr>
        <w:t xml:space="preserve">Drift Detection</w:t>
      </w:r>
      <w:r>
        <w:t xml:space="preserve">: Queries producing result set schema or row count variances exceeding 5% are automatically flagged as</w:t>
      </w:r>
      <w:r>
        <w:t xml:space="preserve"> </w:t>
      </w:r>
      <w:r>
        <w:t xml:space="preserve">“</w:t>
      </w:r>
      <w:r>
        <w:t xml:space="preserve">BROKEN/UNVERIFIED</w:t>
      </w:r>
      <w:r>
        <w:t xml:space="preserve">”</w:t>
      </w:r>
      <w:r>
        <w:t xml:space="preserve"> </w:t>
      </w:r>
      <w:r>
        <w:t xml:space="preserve">and disabled until re-validated.</w:t>
      </w:r>
    </w:p>
    <w:bookmarkEnd w:id="31"/>
    <w:bookmarkEnd w:id="32"/>
    <w:bookmarkStart w:id="33" w:name="document-structure"/>
    <w:p>
      <w:pPr>
        <w:pStyle w:val="Heading2"/>
      </w:pPr>
      <w:r>
        <w:rPr>
          <w:rStyle w:val="SectionNumber"/>
        </w:rPr>
        <w:t xml:space="preserve">1.5</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3"/>
    <w:bookmarkEnd w:id="34"/>
    <w:bookmarkStart w:id="41" w:name="methodology"/>
    <w:p>
      <w:pPr>
        <w:pStyle w:val="Heading1"/>
      </w:pPr>
      <w:r>
        <w:rPr>
          <w:rStyle w:val="SectionNumber"/>
        </w:rPr>
        <w:t xml:space="preserve">2</w:t>
      </w:r>
      <w:r>
        <w:tab/>
      </w:r>
      <w:r>
        <w:t xml:space="preserve">Methodology</w:t>
      </w:r>
    </w:p>
    <w:bookmarkStart w:id="35"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three interconnected domains: healthcare analytics maturity, workforce turnover, and natural language to SQL technologies.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b/>
          <w:bCs/>
        </w:rPr>
        <w:t xml:space="preserve">Original analytical framework</w:t>
      </w:r>
      <w:r>
        <w:t xml:space="preserve">: The three-pillar framework emerged iteratively from the literature rather than being pre-specified</w:t>
      </w:r>
    </w:p>
    <w:p>
      <w:pPr>
        <w:pStyle w:val="Compact"/>
        <w:numPr>
          <w:ilvl w:val="0"/>
          <w:numId w:val="1007"/>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5"/>
    <w:bookmarkStart w:id="36" w:name="literature-search"/>
    <w:p>
      <w:pPr>
        <w:pStyle w:val="Heading2"/>
      </w:pPr>
      <w:r>
        <w:rPr>
          <w:rStyle w:val="SectionNumber"/>
        </w:rPr>
        <w:t xml:space="preserve">2.2</w:t>
      </w:r>
      <w:r>
        <w:tab/>
      </w:r>
      <w:r>
        <w:t xml:space="preserve">Literature Search</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rPr>
          <w:b/>
          <w:bCs/>
        </w:rP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rPr>
          <w:b/>
          <w:bCs/>
        </w:rPr>
        <w:t xml:space="preserve">Search Concepts:</w:t>
      </w:r>
    </w:p>
    <w:p>
      <w:pPr>
        <w:pStyle w:val="BodyText"/>
      </w:pPr>
      <w:r>
        <w:t xml:space="preserve">Search terms were organized around the three-pillar framework:</w:t>
      </w:r>
    </w:p>
    <w:p>
      <w:pPr>
        <w:pStyle w:val="Compact"/>
        <w:numPr>
          <w:ilvl w:val="0"/>
          <w:numId w:val="1010"/>
        </w:numPr>
      </w:pPr>
      <w:r>
        <w:t xml:space="preserve">Analytics maturity:</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analytics adoption,</w:t>
      </w:r>
      <w:r>
        <w:t xml:space="preserve">”</w:t>
      </w:r>
      <w:r>
        <w:t xml:space="preserve"> </w:t>
      </w:r>
      <w:r>
        <w:t xml:space="preserve">“</w:t>
      </w:r>
      <w:r>
        <w:t xml:space="preserve">analytics standardization failure,</w:t>
      </w:r>
      <w:r>
        <w:t xml:space="preserve">”</w:t>
      </w:r>
      <w:r>
        <w:t xml:space="preserve"> </w:t>
      </w:r>
      <w:r>
        <w:t xml:space="preserve">“</w:t>
      </w:r>
      <w:r>
        <w:t xml:space="preserve">low-code healthcare ROI,</w:t>
      </w:r>
      <w:r>
        <w:t xml:space="preserve">”</w:t>
      </w:r>
      <w:r>
        <w:t xml:space="preserve"> </w:t>
      </w:r>
      <w:r>
        <w:t xml:space="preserve">“</w:t>
      </w:r>
      <w:r>
        <w:t xml:space="preserve">conversational AI platforms</w:t>
      </w:r>
      <w:r>
        <w:t xml:space="preserve">”</w:t>
      </w:r>
    </w:p>
    <w:p>
      <w:pPr>
        <w:pStyle w:val="Compact"/>
        <w:numPr>
          <w:ilvl w:val="0"/>
          <w:numId w:val="1010"/>
        </w:numPr>
      </w:pPr>
      <w:r>
        <w:t xml:space="preserve">Workforce turnover:</w:t>
      </w:r>
      <w:r>
        <w:t xml:space="preserve"> </w:t>
      </w:r>
      <w:r>
        <w:t xml:space="preserve">“</w:t>
      </w:r>
      <w:r>
        <w:t xml:space="preserve">healthcare IT tenure,</w:t>
      </w:r>
      <w:r>
        <w:t xml:space="preserve">”</w:t>
      </w:r>
      <w:r>
        <w:t xml:space="preserve"> </w:t>
      </w:r>
      <w:r>
        <w:t xml:space="preserve">“</w:t>
      </w:r>
      <w:r>
        <w:t xml:space="preserve">IT training time,</w:t>
      </w:r>
      <w:r>
        <w:t xml:space="preserve">”</w:t>
      </w:r>
      <w:r>
        <w:t xml:space="preserve"> </w:t>
      </w:r>
      <w:r>
        <w:t xml:space="preserve">“</w:t>
      </w:r>
      <w:r>
        <w:t xml:space="preserve">turnover cost salary,</w:t>
      </w:r>
      <w:r>
        <w:t xml:space="preserve">”</w:t>
      </w:r>
      <w:r>
        <w:t xml:space="preserve"> </w:t>
      </w:r>
      <w:r>
        <w:t xml:space="preserve">“</w:t>
      </w:r>
      <w:r>
        <w:t xml:space="preserve">institutional memory loss,</w:t>
      </w:r>
      <w:r>
        <w:t xml:space="preserve">”</w:t>
      </w:r>
      <w:r>
        <w:t xml:space="preserve"> </w:t>
      </w:r>
      <w:r>
        <w:t xml:space="preserve">“</w:t>
      </w:r>
      <w:r>
        <w:t xml:space="preserve">knowledge portal,</w:t>
      </w:r>
      <w:r>
        <w:t xml:space="preserve">”</w:t>
      </w:r>
      <w:r>
        <w:t xml:space="preserve"> </w:t>
      </w:r>
      <w:r>
        <w:t xml:space="preserve">“</w:t>
      </w:r>
      <w:r>
        <w:t xml:space="preserve">knowledge capture,</w:t>
      </w:r>
      <w:r>
        <w:t xml:space="preserve">”</w:t>
      </w:r>
      <w:r>
        <w:t xml:space="preserve"> </w:t>
      </w:r>
      <w:r>
        <w:t xml:space="preserve">“</w:t>
      </w:r>
      <w:r>
        <w:t xml:space="preserve">SECI model analytics</w:t>
      </w:r>
      <w:r>
        <w:t xml:space="preserve">”</w:t>
      </w:r>
    </w:p>
    <w:p>
      <w:pPr>
        <w:pStyle w:val="Compact"/>
        <w:numPr>
          <w:ilvl w:val="0"/>
          <w:numId w:val="1010"/>
        </w:numPr>
      </w:pPr>
      <w:r>
        <w:t xml:space="preserve">Technical barriers:</w:t>
      </w:r>
      <w:r>
        <w:t xml:space="preserve"> </w:t>
      </w:r>
      <w:r>
        <w:t xml:space="preserve">“</w:t>
      </w:r>
      <w:r>
        <w:t xml:space="preserve">NL2SQL healthcare,</w:t>
      </w:r>
      <w:r>
        <w:t xml:space="preserve">”</w:t>
      </w:r>
      <w:r>
        <w:t xml:space="preserve"> </w:t>
      </w:r>
      <w:r>
        <w:t xml:space="preserve">“</w:t>
      </w:r>
      <w:r>
        <w:t xml:space="preserve">text-to-SQL clinical,</w:t>
      </w:r>
      <w:r>
        <w:t xml:space="preserve">”</w:t>
      </w:r>
      <w:r>
        <w:t xml:space="preserve"> </w:t>
      </w:r>
      <w:r>
        <w:t xml:space="preserve">“</w:t>
      </w:r>
      <w:r>
        <w:t xml:space="preserve">MIMICSQL,</w:t>
      </w:r>
      <w:r>
        <w:t xml:space="preserve">”</w:t>
      </w:r>
      <w:r>
        <w:t xml:space="preserve"> </w:t>
      </w:r>
      <w:r>
        <w:t xml:space="preserve">“</w:t>
      </w:r>
      <w:r>
        <w:t xml:space="preserve">EHRSQL,</w:t>
      </w:r>
      <w:r>
        <w:t xml:space="preserve">”</w:t>
      </w:r>
      <w:r>
        <w:t xml:space="preserve"> </w:t>
      </w:r>
      <w:r>
        <w:t xml:space="preserve">“</w:t>
      </w:r>
      <w:r>
        <w:t xml:space="preserve">NL2SQL accuracy,</w:t>
      </w:r>
      <w:r>
        <w:t xml:space="preserve">”</w:t>
      </w:r>
      <w:r>
        <w:t xml:space="preserve"> </w:t>
      </w:r>
      <w:r>
        <w:t xml:space="preserve">“</w:t>
      </w:r>
      <w:r>
        <w:t xml:space="preserve">NL2SQL productivity,</w:t>
      </w:r>
      <w:r>
        <w:t xml:space="preserve">”</w:t>
      </w:r>
      <w:r>
        <w:t xml:space="preserve"> </w:t>
      </w:r>
      <w:r>
        <w:t xml:space="preserve">“</w:t>
      </w:r>
      <w:r>
        <w:t xml:space="preserve">schema discovery,</w:t>
      </w:r>
      <w:r>
        <w:t xml:space="preserve">”</w:t>
      </w:r>
      <w:r>
        <w:t xml:space="preserve"> </w:t>
      </w:r>
      <w:r>
        <w:t xml:space="preserve">“</w:t>
      </w:r>
      <w:r>
        <w:t xml:space="preserve">PK/FK discovery,</w:t>
      </w:r>
      <w:r>
        <w:t xml:space="preserve">”</w:t>
      </w:r>
      <w:r>
        <w:t xml:space="preserve"> </w:t>
      </w:r>
      <w:r>
        <w:t xml:space="preserve">“</w:t>
      </w:r>
      <w:r>
        <w:t xml:space="preserve">semantic column matching,</w:t>
      </w:r>
      <w:r>
        <w:t xml:space="preserve">”</w:t>
      </w:r>
      <w:r>
        <w:t xml:space="preserve"> </w:t>
      </w:r>
      <w:r>
        <w:t xml:space="preserve">“</w:t>
      </w:r>
      <w:r>
        <w:t xml:space="preserve">vector embeddings schema</w:t>
      </w:r>
      <w:r>
        <w:t xml:space="preserve">”</w:t>
      </w:r>
    </w:p>
    <w:p>
      <w:pPr>
        <w:pStyle w:val="FirstParagraph"/>
      </w:pPr>
      <w:r>
        <w:rPr>
          <w:b/>
          <w:bCs/>
        </w:rPr>
        <w:t xml:space="preserve">Search Results:</w:t>
      </w:r>
    </w:p>
    <w:p>
      <w:pPr>
        <w:pStyle w:val="BodyText"/>
      </w:pPr>
      <w:r>
        <w:t xml:space="preserve">Searches across all databases yielded 570 initial results after deduplication. Crossref searches for terms including</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NL2SQL clinical,</w:t>
      </w:r>
      <w:r>
        <w:t xml:space="preserve">”</w:t>
      </w:r>
      <w:r>
        <w:t xml:space="preserve"> </w:t>
      </w:r>
      <w:r>
        <w:t xml:space="preserve">“</w:t>
      </w:r>
      <w:r>
        <w:t xml:space="preserve">knowledge portal,</w:t>
      </w:r>
      <w:r>
        <w:t xml:space="preserve">”</w:t>
      </w:r>
      <w:r>
        <w:t xml:space="preserve"> </w:t>
      </w:r>
      <w:r>
        <w:t xml:space="preserve">and</w:t>
      </w:r>
      <w:r>
        <w:t xml:space="preserve"> </w:t>
      </w:r>
      <w:r>
        <w:t xml:space="preserve">“</w:t>
      </w:r>
      <w:r>
        <w:t xml:space="preserve">low-code ROI</w:t>
      </w:r>
      <w:r>
        <w:t xml:space="preserve">”</w:t>
      </w:r>
      <w:r>
        <w:t xml:space="preserve"> </w:t>
      </w:r>
      <w:r>
        <w:t xml:space="preserve">(2015-current) returned 285 results, of which 15 passed screening. PubMed searches combining workforce terms (</w:t>
      </w:r>
      <w:r>
        <w:t xml:space="preserve">“</w:t>
      </w:r>
      <w:r>
        <w:t xml:space="preserve">healthcare IT tenure,</w:t>
      </w:r>
      <w:r>
        <w:t xml:space="preserve">”</w:t>
      </w:r>
      <w:r>
        <w:t xml:space="preserve"> </w:t>
      </w:r>
      <w:r>
        <w:t xml:space="preserve">“</w:t>
      </w:r>
      <w:r>
        <w:t xml:space="preserve">IT training time,</w:t>
      </w:r>
      <w:r>
        <w:t xml:space="preserve">”</w:t>
      </w:r>
      <w:r>
        <w:t xml:space="preserve"> </w:t>
      </w:r>
      <w:r>
        <w:t xml:space="preserve">“</w:t>
      </w:r>
      <w:r>
        <w:t xml:space="preserve">turnover cost salary</w:t>
      </w:r>
      <w:r>
        <w:t xml:space="preserve">”</w:t>
      </w:r>
      <w:r>
        <w:t xml:space="preserve">) with analytics terms (</w:t>
      </w:r>
      <w:r>
        <w:t xml:space="preserve">“</w:t>
      </w:r>
      <w:r>
        <w:t xml:space="preserve">institutional memory,</w:t>
      </w:r>
      <w:r>
        <w:t xml:space="preserve">”</w:t>
      </w:r>
      <w:r>
        <w:t xml:space="preserve"> </w:t>
      </w:r>
      <w:r>
        <w:t xml:space="preserve">“</w:t>
      </w:r>
      <w:r>
        <w:t xml:space="preserve">analytics adoption,</w:t>
      </w:r>
      <w:r>
        <w:t xml:space="preserve">”</w:t>
      </w:r>
      <w:r>
        <w:t xml:space="preserve"> </w:t>
      </w:r>
      <w:r>
        <w:t xml:space="preserve">“</w:t>
      </w:r>
      <w:r>
        <w:t xml:space="preserve">knowledge capture</w:t>
      </w:r>
      <w:r>
        <w:t xml:space="preserve">”</w:t>
      </w:r>
      <w:r>
        <w:t xml:space="preserve">) (2015-current) yielded 142 results with 12 passing screening. arXiv searches in cs.CL and cs.DB categories for</w:t>
      </w:r>
      <w:r>
        <w:t xml:space="preserve"> </w:t>
      </w:r>
      <w:r>
        <w:t xml:space="preserve">“</w:t>
      </w:r>
      <w:r>
        <w:t xml:space="preserve">text-to-SQL</w:t>
      </w:r>
      <w:r>
        <w:t xml:space="preserve">”</w:t>
      </w:r>
      <w:r>
        <w:t xml:space="preserve"> </w:t>
      </w:r>
      <w:r>
        <w:t xml:space="preserve">combined with technical terms (</w:t>
      </w:r>
      <w:r>
        <w:t xml:space="preserve">“</w:t>
      </w:r>
      <w:r>
        <w:t xml:space="preserve">MIMICSQL,</w:t>
      </w:r>
      <w:r>
        <w:t xml:space="preserve">”</w:t>
      </w:r>
      <w:r>
        <w:t xml:space="preserve"> </w:t>
      </w:r>
      <w:r>
        <w:t xml:space="preserve">“</w:t>
      </w:r>
      <w:r>
        <w:t xml:space="preserve">EHRSQL,</w:t>
      </w:r>
      <w:r>
        <w:t xml:space="preserve">”</w:t>
      </w:r>
      <w:r>
        <w:t xml:space="preserve"> </w:t>
      </w:r>
      <w:r>
        <w:t xml:space="preserve">“</w:t>
      </w:r>
      <w:r>
        <w:t xml:space="preserve">schema discovery,</w:t>
      </w:r>
      <w:r>
        <w:t xml:space="preserve">”</w:t>
      </w:r>
      <w:r>
        <w:t xml:space="preserve"> </w:t>
      </w:r>
      <w:r>
        <w:t xml:space="preserve">“</w:t>
      </w:r>
      <w:r>
        <w:t xml:space="preserve">PK/FK discovery,</w:t>
      </w:r>
      <w:r>
        <w:t xml:space="preserve">”</w:t>
      </w:r>
      <w:r>
        <w:t xml:space="preserve"> </w:t>
      </w:r>
      <w:r>
        <w:t xml:space="preserve">“</w:t>
      </w:r>
      <w:r>
        <w:t xml:space="preserve">semantic matching,</w:t>
      </w:r>
      <w:r>
        <w:t xml:space="preserve">”</w:t>
      </w:r>
      <w:r>
        <w:t xml:space="preserve"> </w:t>
      </w:r>
      <w:r>
        <w:t xml:space="preserve">“</w:t>
      </w:r>
      <w:r>
        <w:t xml:space="preserve">vector embeddings</w:t>
      </w:r>
      <w:r>
        <w:t xml:space="preserve">”</w:t>
      </w:r>
      <w:r>
        <w:t xml:space="preserve">) (2020-current) produced 71 results with 6 passing screening. Semantic Scholar searches for</w:t>
      </w:r>
      <w:r>
        <w:t xml:space="preserve"> </w:t>
      </w:r>
      <w:r>
        <w:t xml:space="preserve">“</w:t>
      </w:r>
      <w:r>
        <w:t xml:space="preserve">NL2SQL healthcare,</w:t>
      </w:r>
      <w:r>
        <w:t xml:space="preserve">”</w:t>
      </w:r>
      <w:r>
        <w:t xml:space="preserve"> </w:t>
      </w:r>
      <w:r>
        <w:t xml:space="preserve">“</w:t>
      </w:r>
      <w:r>
        <w:t xml:space="preserve">NL2SQL productivity,</w:t>
      </w:r>
      <w:r>
        <w:t xml:space="preserve">”</w:t>
      </w:r>
      <w:r>
        <w:t xml:space="preserve"> </w:t>
      </w:r>
      <w:r>
        <w:t xml:space="preserve">“</w:t>
      </w:r>
      <w:r>
        <w:t xml:space="preserve">conversational AI clinical,</w:t>
      </w:r>
      <w:r>
        <w:t xml:space="preserve">”</w:t>
      </w:r>
      <w:r>
        <w:t xml:space="preserve"> </w:t>
      </w:r>
      <w:r>
        <w:t xml:space="preserve">and</w:t>
      </w:r>
      <w:r>
        <w:t xml:space="preserve"> </w:t>
      </w:r>
      <w:r>
        <w:t xml:space="preserve">“</w:t>
      </w:r>
      <w:r>
        <w:t xml:space="preserve">SECI model analytics</w:t>
      </w:r>
      <w:r>
        <w:t xml:space="preserve">”</w:t>
      </w:r>
      <w:r>
        <w:t xml:space="preserve"> </w:t>
      </w:r>
      <w:r>
        <w:t xml:space="preserve">(2015-current) returned 72 results with 8 passing screening. The final corpus includes 81 academic and 11 industry sources (92 total).</w:t>
      </w:r>
    </w:p>
    <w:p>
      <w:pPr>
        <w:pStyle w:val="BodyText"/>
      </w:pPr>
      <w:r>
        <w:t xml:space="preserve">Figure 3 illustrates the literature selection process, showing progression from initial database search through screening and quality assessment to the final corpus of 92 sources.</w:t>
      </w:r>
    </w:p>
    <w:bookmarkEnd w:id="36"/>
    <w:bookmarkStart w:id="37" w:name="source-selection"/>
    <w:p>
      <w:pPr>
        <w:pStyle w:val="Heading2"/>
      </w:pPr>
      <w:r>
        <w:rPr>
          <w:rStyle w:val="SectionNumber"/>
        </w:rPr>
        <w:t xml:space="preserve">2.3</w:t>
      </w:r>
      <w:r>
        <w:tab/>
      </w:r>
      <w:r>
        <w:t xml:space="preserve">Source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1"/>
        </w:numPr>
      </w:pPr>
      <w:r>
        <w:t xml:space="preserve">Peer-reviewed publications in healthcare informatics, medical informatics, computer science, or health services research</w:t>
      </w:r>
    </w:p>
    <w:p>
      <w:pPr>
        <w:pStyle w:val="Compact"/>
        <w:numPr>
          <w:ilvl w:val="0"/>
          <w:numId w:val="1011"/>
        </w:numPr>
      </w:pPr>
      <w:r>
        <w:t xml:space="preserve">Industry reports from established healthcare IT organizations (HIMSS, AHIMA, AMIA)</w:t>
      </w:r>
    </w:p>
    <w:p>
      <w:pPr>
        <w:pStyle w:val="Compact"/>
        <w:numPr>
          <w:ilvl w:val="0"/>
          <w:numId w:val="1011"/>
        </w:numPr>
      </w:pPr>
      <w:r>
        <w:t xml:space="preserve">Publications from 2015-current, with emphasis on 2020-current for rapidly evolving NL2SQL technologies</w:t>
      </w:r>
    </w:p>
    <w:p>
      <w:pPr>
        <w:pStyle w:val="Compact"/>
        <w:numPr>
          <w:ilvl w:val="0"/>
          <w:numId w:val="1011"/>
        </w:numPr>
      </w:pPr>
      <w:r>
        <w:t xml:space="preserve">English language publications</w:t>
      </w:r>
    </w:p>
    <w:p>
      <w:pPr>
        <w:pStyle w:val="Compact"/>
        <w:numPr>
          <w:ilvl w:val="0"/>
          <w:numId w:val="1011"/>
        </w:numPr>
      </w:pPr>
      <w:r>
        <w:t xml:space="preserve">Sources with verifiable DOIs, URLs, or institutional attribution</w:t>
      </w:r>
    </w:p>
    <w:p>
      <w:pPr>
        <w:pStyle w:val="FirstParagraph"/>
      </w:pPr>
      <w:r>
        <w:rPr>
          <w:b/>
          <w:bCs/>
        </w:rPr>
        <w:t xml:space="preserve">Exclusion Criteria:</w:t>
      </w:r>
    </w:p>
    <w:p>
      <w:pPr>
        <w:pStyle w:val="Compact"/>
        <w:numPr>
          <w:ilvl w:val="0"/>
          <w:numId w:val="1012"/>
        </w:numPr>
      </w:pPr>
      <w:r>
        <w:t xml:space="preserve">Sources without verifiable attribution or institutional backing</w:t>
      </w:r>
    </w:p>
    <w:p>
      <w:pPr>
        <w:pStyle w:val="Compact"/>
        <w:numPr>
          <w:ilvl w:val="0"/>
          <w:numId w:val="1012"/>
        </w:numPr>
      </w:pPr>
      <w:r>
        <w:t xml:space="preserve">Vendor marketing materials without independent validation</w:t>
      </w:r>
    </w:p>
    <w:p>
      <w:pPr>
        <w:pStyle w:val="Compact"/>
        <w:numPr>
          <w:ilvl w:val="0"/>
          <w:numId w:val="1012"/>
        </w:numPr>
      </w:pPr>
      <w:r>
        <w:t xml:space="preserve">Preprints without subsequent peer-reviewed publication (exception: foundational NL2SQL benchmarks where peer review is pending)</w:t>
      </w:r>
    </w:p>
    <w:p>
      <w:pPr>
        <w:pStyle w:val="Compact"/>
        <w:numPr>
          <w:ilvl w:val="0"/>
          <w:numId w:val="1012"/>
        </w:numPr>
      </w:pPr>
      <w:r>
        <w:t xml:space="preserve">Studies with unverifiable statistics or methodological concerns</w:t>
      </w:r>
    </w:p>
    <w:bookmarkEnd w:id="37"/>
    <w:bookmarkStart w:id="38" w:name="evidence-synthesis"/>
    <w:p>
      <w:pPr>
        <w:pStyle w:val="Heading2"/>
      </w:pPr>
      <w:r>
        <w:rPr>
          <w:rStyle w:val="SectionNumber"/>
        </w:rPr>
        <w:t xml:space="preserve">2.4</w:t>
      </w:r>
      <w:r>
        <w:tab/>
      </w:r>
      <w:r>
        <w:t xml:space="preserve">Evidence Synthesis</w:t>
      </w:r>
    </w:p>
    <w:p>
      <w:pPr>
        <w:pStyle w:val="FirstParagraph"/>
      </w:pPr>
      <w:r>
        <w:t xml:space="preserve">Evidence was synthesized thematically around the three-pillar framework:</w:t>
      </w:r>
    </w:p>
    <w:p>
      <w:pPr>
        <w:pStyle w:val="Compact"/>
        <w:numPr>
          <w:ilvl w:val="0"/>
          <w:numId w:val="1013"/>
        </w:numPr>
      </w:pPr>
      <w:r>
        <w:rPr>
          <w:b/>
          <w:bCs/>
        </w:rPr>
        <w:t xml:space="preserve">Analytics maturity</w:t>
      </w:r>
      <w:r>
        <w:t xml:space="preserve">: Evidence on HIMSS AMAM adoption, healthcare analytics capabilities, and organizational readiness</w:t>
      </w:r>
    </w:p>
    <w:p>
      <w:pPr>
        <w:pStyle w:val="Compact"/>
        <w:numPr>
          <w:ilvl w:val="0"/>
          <w:numId w:val="1013"/>
        </w:numPr>
      </w:pPr>
      <w:r>
        <w:rPr>
          <w:b/>
          <w:bCs/>
        </w:rPr>
        <w:t xml:space="preserve">Workforce turnover</w:t>
      </w:r>
      <w:r>
        <w:t xml:space="preserve">: Evidence on nursing and IT staff turnover rates, institutional memory loss, and knowledge transfer challenges</w:t>
      </w:r>
    </w:p>
    <w:p>
      <w:pPr>
        <w:pStyle w:val="Compact"/>
        <w:numPr>
          <w:ilvl w:val="0"/>
          <w:numId w:val="1013"/>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8"/>
    <w:bookmarkStart w:id="39" w:name="grey-literature-quality-assessment"/>
    <w:p>
      <w:pPr>
        <w:pStyle w:val="Heading2"/>
      </w:pPr>
      <w:r>
        <w:rPr>
          <w:rStyle w:val="SectionNumber"/>
        </w:rPr>
        <w:t xml:space="preserve">2.5</w:t>
      </w:r>
      <w:r>
        <w:tab/>
      </w:r>
      <w:r>
        <w:t xml:space="preserve">Grey Literature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19</w:t>
        </w:r>
      </w:hyperlink>
      <w:r>
        <w:t xml:space="preserve">)</w:t>
      </w:r>
      <w:r>
        <w:t xml:space="preserve">, which evaluates Authority, Accuracy, Coverage, Objectivity, Date, and Significance. Sources with vendor sponsorship were retained when no independent alternative existed but flagged in-text. Table</w:t>
      </w:r>
      <w:r>
        <w:t xml:space="preserve"> </w:t>
      </w:r>
      <w:r>
        <w:t xml:space="preserve"> </w:t>
      </w:r>
      <w:r>
        <w:t xml:space="preserve">summarizes the assessment.</w:t>
      </w:r>
    </w:p>
    <w:bookmarkEnd w:id="39"/>
    <w:bookmarkStart w:id="40"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4"/>
        </w:numPr>
      </w:pPr>
      <w:r>
        <w:rPr>
          <w:b/>
          <w:bCs/>
        </w:rPr>
        <w:t xml:space="preserve">Non-exhaustive search</w:t>
      </w:r>
      <w:r>
        <w:t xml:space="preserve">: Literature identification was selective rather than exhaustive; relevant studies may have been missed</w:t>
      </w:r>
    </w:p>
    <w:p>
      <w:pPr>
        <w:pStyle w:val="Compact"/>
        <w:numPr>
          <w:ilvl w:val="0"/>
          <w:numId w:val="1014"/>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4"/>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4"/>
        </w:numPr>
      </w:pPr>
      <w:r>
        <w:rPr>
          <w:b/>
          <w:bCs/>
        </w:rPr>
        <w:t xml:space="preserve">Post-hoc selection criteria</w:t>
      </w:r>
      <w:r>
        <w:t xml:space="preserve">: Inclusion and exclusion criteria were refined during the review process rather than pre-registered</w:t>
      </w:r>
    </w:p>
    <w:p>
      <w:pPr>
        <w:pStyle w:val="Compact"/>
        <w:numPr>
          <w:ilvl w:val="0"/>
          <w:numId w:val="1014"/>
        </w:numPr>
      </w:pPr>
      <w:r>
        <w:rPr>
          <w:b/>
          <w:bCs/>
        </w:rPr>
        <w:t xml:space="preserve">No protocol registration</w:t>
      </w:r>
      <w:r>
        <w:t xml:space="preserve">: This review was not registered in PROSPERO or similar registries</w:t>
      </w:r>
    </w:p>
    <w:p>
      <w:pPr>
        <w:pStyle w:val="Compact"/>
        <w:numPr>
          <w:ilvl w:val="0"/>
          <w:numId w:val="1014"/>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4</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20</w:t>
        </w:r>
      </w:hyperlink>
      <w:r>
        <w:t xml:space="preserve">)</w:t>
      </w:r>
      <w:r>
        <w:t xml:space="preserve">), no study has directly replicated the 2004 tenure measurement methodology.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40"/>
    <w:bookmarkEnd w:id="41"/>
    <w:bookmarkStart w:id="46"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gaps, (2) workforce turnover and institutional memory loss, and (3) technical barriers in natural language to SQL generation. This section documents the framework’s development process and theoretical grounding.</w:t>
      </w:r>
    </w:p>
    <w:bookmarkStart w:id="42"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5"/>
        </w:numPr>
      </w:pPr>
      <w:r>
        <w:rPr>
          <w:b/>
          <w:bCs/>
        </w:rPr>
        <w:t xml:space="preserve">Theme Extraction</w:t>
      </w:r>
      <w:r>
        <w:t xml:space="preserve">: Systematic coding of 92 sources identified recurring themes across technical, organizational, and workforce dimensions</w:t>
      </w:r>
    </w:p>
    <w:p>
      <w:pPr>
        <w:pStyle w:val="Compact"/>
        <w:numPr>
          <w:ilvl w:val="0"/>
          <w:numId w:val="1015"/>
        </w:numPr>
      </w:pPr>
      <w:r>
        <w:rPr>
          <w:b/>
          <w:bCs/>
        </w:rPr>
        <w:t xml:space="preserve">Pattern Recognition</w:t>
      </w:r>
      <w:r>
        <w:t xml:space="preserve">: Cross-domain analysis revealed that challenges in each dimension amplified challenges in others (e.g., workforce turnover degrading analytics maturity, technical barriers preventing knowledge capture)</w:t>
      </w:r>
    </w:p>
    <w:p>
      <w:pPr>
        <w:pStyle w:val="Compact"/>
        <w:numPr>
          <w:ilvl w:val="0"/>
          <w:numId w:val="1015"/>
        </w:numPr>
      </w:pPr>
      <w:r>
        <w:rPr>
          <w:b/>
          <w:bCs/>
        </w:rPr>
        <w:t xml:space="preserve">Pillar Identification</w:t>
      </w:r>
      <w:r>
        <w:t xml:space="preserve">: Three orthogonal yet interconnected dimensions emerged as the organizing structure:</w:t>
      </w:r>
    </w:p>
    <w:p>
      <w:pPr>
        <w:pStyle w:val="Compact"/>
        <w:numPr>
          <w:ilvl w:val="1"/>
          <w:numId w:val="1016"/>
        </w:numPr>
      </w:pPr>
      <w:r>
        <w:rPr>
          <w:b/>
          <w:bCs/>
        </w:rPr>
        <w:t xml:space="preserve">Analytics Maturity</w:t>
      </w:r>
      <w:r>
        <w:t xml:space="preserve">: Organizational capability progression measured against HIMSS AMAM stages</w:t>
      </w:r>
    </w:p>
    <w:p>
      <w:pPr>
        <w:pStyle w:val="Compact"/>
        <w:numPr>
          <w:ilvl w:val="1"/>
          <w:numId w:val="1016"/>
        </w:numPr>
      </w:pPr>
      <w:r>
        <w:rPr>
          <w:b/>
          <w:bCs/>
        </w:rPr>
        <w:t xml:space="preserve">Workforce Dynamics</w:t>
      </w:r>
      <w:r>
        <w:t xml:space="preserve">: Human capital retention and tacit knowledge preservation</w:t>
      </w:r>
    </w:p>
    <w:p>
      <w:pPr>
        <w:pStyle w:val="Compact"/>
        <w:numPr>
          <w:ilvl w:val="1"/>
          <w:numId w:val="1016"/>
        </w:numPr>
      </w:pPr>
      <w:r>
        <w:rPr>
          <w:b/>
          <w:bCs/>
        </w:rPr>
        <w:t xml:space="preserve">Technical Barriers</w:t>
      </w:r>
      <w:r>
        <w:t xml:space="preserve">: NL2SQL capabilities and healthcare-specific implementation challenges</w:t>
      </w:r>
    </w:p>
    <w:p>
      <w:pPr>
        <w:pStyle w:val="Compact"/>
        <w:numPr>
          <w:ilvl w:val="0"/>
          <w:numId w:val="1015"/>
        </w:numPr>
      </w:pPr>
      <w:r>
        <w:rPr>
          <w:b/>
          <w:bCs/>
        </w:rPr>
        <w:t xml:space="preserve">Framework Validation</w:t>
      </w:r>
      <w:r>
        <w:t xml:space="preserve">: Pillar structure tested against all 92 sources to confirm comprehensive coverage without significant gaps</w:t>
      </w:r>
    </w:p>
    <w:bookmarkEnd w:id="42"/>
    <w:bookmarkStart w:id="43"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 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w:t>
      </w:r>
    </w:p>
    <w:bookmarkEnd w:id="43"/>
    <w:bookmarkStart w:id="45"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Start w:id="44" w:name="X2128daa026e2f576bfc65fb261c0c198539998b"/>
    <w:p>
      <w:pPr>
        <w:pStyle w:val="Heading3"/>
      </w:pPr>
      <w:r>
        <w:rPr>
          <w:rStyle w:val="SectionNumber"/>
        </w:rPr>
        <w:t xml:space="preserve">3.3.1</w:t>
      </w:r>
      <w:r>
        <w:tab/>
      </w:r>
      <w:r>
        <w:t xml:space="preserve">Operational Metrics for Framework Assessment</w:t>
      </w:r>
    </w:p>
    <w:p>
      <w:pPr>
        <w:pStyle w:val="FirstParagraph"/>
      </w:pPr>
      <w:r>
        <w:t xml:space="preserve">To operationalize the framework, organizations should establish baseline metrics beyond the historical data cited in the literature. We propose three diagnostic metrics to quantify current risks:</w:t>
      </w:r>
    </w:p>
    <w:p>
      <w:pPr>
        <w:pStyle w:val="Compact"/>
        <w:numPr>
          <w:ilvl w:val="0"/>
          <w:numId w:val="1017"/>
        </w:numPr>
      </w:pPr>
      <w:r>
        <w:rPr>
          <w:b/>
          <w:bCs/>
        </w:rPr>
        <w:t xml:space="preserve">Analyst Turnover Rate (ATR)</w:t>
      </w:r>
      <w:r>
        <w:t xml:space="preserve">: Calculated as</w:t>
      </w:r>
      <w:r>
        <w:t xml:space="preserve"> </w:t>
      </w:r>
      <w:r>
        <w:rPr>
          <w:rStyle w:val="VerbatimChar"/>
        </w:rPr>
        <w:t xml:space="preserve">(Departures / Average Headcount) * 100</w:t>
      </w:r>
      <w:r>
        <w:t xml:space="preserve"> </w:t>
      </w:r>
      <w:r>
        <w:t xml:space="preserve">over the trailing 24 months. Rates exceeding 15% indicate critical institutional memory leakage that threatens analytics continuity.</w:t>
      </w:r>
    </w:p>
    <w:p>
      <w:pPr>
        <w:pStyle w:val="Compact"/>
        <w:numPr>
          <w:ilvl w:val="0"/>
          <w:numId w:val="1017"/>
        </w:numPr>
      </w:pPr>
      <w:r>
        <w:rPr>
          <w:b/>
          <w:bCs/>
        </w:rPr>
        <w:t xml:space="preserve">Knowledge Artifact Ratio (KAR)</w:t>
      </w:r>
      <w:r>
        <w:t xml:space="preserve">: Calculated as</w:t>
      </w:r>
      <w:r>
        <w:t xml:space="preserve"> </w:t>
      </w:r>
      <w:r>
        <w:rPr>
          <w:rStyle w:val="VerbatimChar"/>
        </w:rPr>
        <w:t xml:space="preserve">(Verified Documentation Pages / Total SQL Queries in Production)</w:t>
      </w:r>
      <w:r>
        <w:t xml:space="preserve">. Ratios below 0.1 indicate a dangerous dependency on</w:t>
      </w:r>
      <w:r>
        <w:t xml:space="preserve"> </w:t>
      </w:r>
      <w:r>
        <w:t xml:space="preserve">“</w:t>
      </w:r>
      <w:r>
        <w:t xml:space="preserve">tribal knowledge</w:t>
      </w:r>
      <w:r>
        <w:t xml:space="preserve">”</w:t>
      </w:r>
      <w:r>
        <w:t xml:space="preserve"> </w:t>
      </w:r>
      <w:r>
        <w:t xml:space="preserve">rather than encoded expertise.</w:t>
      </w:r>
    </w:p>
    <w:p>
      <w:pPr>
        <w:pStyle w:val="Compact"/>
        <w:numPr>
          <w:ilvl w:val="0"/>
          <w:numId w:val="1017"/>
        </w:numPr>
      </w:pPr>
      <w:r>
        <w:rPr>
          <w:b/>
          <w:bCs/>
        </w:rPr>
        <w:t xml:space="preserve">Onboarding Velocity</w:t>
      </w:r>
      <w:r>
        <w:t xml:space="preserve">: The average number of days for a new analyst to deploy their first error-free production query. Durations exceeding 45 days suggest structural complexity barriers that exacerbate turnover impact.</w:t>
      </w:r>
    </w:p>
    <w:bookmarkEnd w:id="44"/>
    <w:bookmarkEnd w:id="45"/>
    <w:bookmarkEnd w:id="46"/>
    <w:bookmarkStart w:id="73"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three-pillar framework domains: natural language to SQL generation (technical barriers), healthcare analytics maturity, and workforce dynamics. Drawing from peer-reviewed research, industry reports, and benchmark datasets identified through the methodology described in Section 2 (Methodology), we document the current state of each pillar and reveal interconnections. Analysis reveals three critical findings: (1) natural language to SQL generation has evolved significantly but faces healthcare-specific challenges requiring specialized solutions, (2) healthcare analytics maturity remains low with most organizations struggling at basic stages, and (3) healthcare workforce turnover creates institutional memory loss that traditional approaches fail to address. Evidence across these three domains reveals significant interconnections and compounding effects that the three-pillar framework synthesizes.</w:t>
      </w:r>
    </w:p>
    <w:bookmarkStart w:id="51" w:name="X79e53be5adb6b9863f8ca49c43cb7059ea634a1"/>
    <w:p>
      <w:pPr>
        <w:pStyle w:val="Heading2"/>
      </w:pPr>
      <w:r>
        <w:rPr>
          <w:rStyle w:val="SectionNumber"/>
        </w:rPr>
        <w:t xml:space="preserve">4.1</w:t>
      </w:r>
      <w:r>
        <w:tab/>
      </w:r>
      <w:r>
        <w:t xml:space="preserve">Current State of Natural Language to SQL Generation</w:t>
      </w:r>
    </w:p>
    <w:bookmarkStart w:id="47" w:name="evolution-and-technical-advances"/>
    <w:p>
      <w:pPr>
        <w:pStyle w:val="Heading3"/>
      </w:pPr>
      <w:r>
        <w:rPr>
          <w:rStyle w:val="SectionNumber"/>
        </w:rPr>
        <w:t xml:space="preserve">4.1.1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18</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21</w:t>
        </w:r>
      </w:hyperlink>
      <w:r>
        <w:t xml:space="preserve">)</w:t>
      </w:r>
      <w:r>
        <w:t xml:space="preserve">,</w:t>
      </w:r>
      <w:r>
        <w:t xml:space="preserve"> </w:t>
      </w:r>
      <w:r>
        <w:t xml:space="preserve">(</w:t>
      </w:r>
      <w:hyperlink w:anchor="ref-openai2025">
        <w:r>
          <w:rPr>
            <w:rStyle w:val="Hyperlink"/>
          </w:rPr>
          <w:t xml:space="preserve">22</w:t>
        </w:r>
      </w:hyperlink>
      <w:r>
        <w:t xml:space="preserve">)</w:t>
      </w:r>
      <w:r>
        <w:t xml:space="preserve">, though human oversight remains recommended for clinical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23</w:t>
        </w:r>
      </w:hyperlink>
      <w:r>
        <w:t xml:space="preserve">)</w:t>
      </w:r>
      <w:r>
        <w:t xml:space="preserve">,</w:t>
      </w:r>
      <w:r>
        <w:t xml:space="preserve"> </w:t>
      </w:r>
      <w:r>
        <w:t xml:space="preserve">(</w:t>
      </w:r>
      <w:hyperlink w:anchor="ref-wu2024a">
        <w:r>
          <w:rPr>
            <w:rStyle w:val="Hyperlink"/>
          </w:rPr>
          <w:t xml:space="preserve">24</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Evaluations of GPT-4 and Claude 3.5 showed approximately 64-70% accuracy on complex clinical and agent-based tasks; however, late-2025 models demonstrate substantial improvements. GPT-5 achieves over 80% accuracy on neurosurgical board examinations and surpasses physician performance on multimodal medical reasoning benchmarks by 15-29%</w:t>
      </w:r>
      <w:r>
        <w:t xml:space="preserve"> </w:t>
      </w:r>
      <w:r>
        <w:t xml:space="preserve">(</w:t>
      </w:r>
      <w:hyperlink w:anchor="ref-wang2025">
        <w:r>
          <w:rPr>
            <w:rStyle w:val="Hyperlink"/>
          </w:rPr>
          <w:t xml:space="preserve">21</w:t>
        </w:r>
      </w:hyperlink>
      <w:r>
        <w:t xml:space="preserve">)</w:t>
      </w:r>
      <w:r>
        <w:t xml:space="preserve">. On healthcare-specific NL2SQL tasks, GPT-5 achieves 64.6% execution accuracy on the MIMICSQL dataset</w:t>
      </w:r>
      <w:r>
        <w:t xml:space="preserve"> </w:t>
      </w:r>
      <w:r>
        <w:t xml:space="preserve">(</w:t>
      </w:r>
      <w:hyperlink w:anchor="ref-blaskovic2025">
        <w:r>
          <w:rPr>
            <w:rStyle w:val="Hyperlink"/>
          </w:rPr>
          <w:t xml:space="preserve">25</w:t>
        </w:r>
      </w:hyperlink>
      <w:r>
        <w:t xml:space="preserve">)</w:t>
      </w:r>
      <w:r>
        <w:t xml:space="preserve">, while the HealthBench benchmark (developed with 262 physicians across 26 specialties) shows GPT-5 hallucination rates of 0.7-1.0%, representing a 4-6x improvement over previous models</w:t>
      </w:r>
      <w:r>
        <w:t xml:space="preserve"> </w:t>
      </w:r>
      <w:r>
        <w:t xml:space="preserve">(</w:t>
      </w:r>
      <w:hyperlink w:anchor="ref-openai2025">
        <w:r>
          <w:rPr>
            <w:rStyle w:val="Hyperlink"/>
          </w:rPr>
          <w:t xml:space="preserve">22</w:t>
        </w:r>
      </w:hyperlink>
      <w:r>
        <w:t xml:space="preserve">)</w:t>
      </w:r>
      <w:r>
        <w:t xml:space="preserve">.</w:t>
      </w:r>
    </w:p>
    <w:bookmarkEnd w:id="47"/>
    <w:bookmarkStart w:id="48" w:name="healthcare-specific-challenges"/>
    <w:p>
      <w:pPr>
        <w:pStyle w:val="Heading3"/>
      </w:pPr>
      <w:r>
        <w:rPr>
          <w:rStyle w:val="SectionNumber"/>
        </w:rPr>
        <w:t xml:space="preserve">4.1.2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26</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27</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48"/>
    <w:bookmarkStart w:id="49" w:name="promising-approaches-and-limitations"/>
    <w:p>
      <w:pPr>
        <w:pStyle w:val="Heading3"/>
      </w:pPr>
      <w:r>
        <w:rPr>
          <w:rStyle w:val="SectionNumber"/>
        </w:rPr>
        <w:t xml:space="preserve">4.1.3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27</w:t>
        </w:r>
      </w:hyperlink>
      <w:r>
        <w:t xml:space="preserve">)</w:t>
      </w:r>
      <w:r>
        <w:t xml:space="preserve"> </w:t>
      </w:r>
      <w:r>
        <w:t xml:space="preserve">and EHRSQL benchmark</w:t>
      </w:r>
      <w:r>
        <w:t xml:space="preserve"> </w:t>
      </w:r>
      <w:r>
        <w:t xml:space="preserve">(</w:t>
      </w:r>
      <w:hyperlink w:anchor="ref-lee2023">
        <w:r>
          <w:rPr>
            <w:rStyle w:val="Hyperlink"/>
          </w:rPr>
          <w:t xml:space="preserve">28</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29</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23</w:t>
        </w:r>
      </w:hyperlink>
      <w:r>
        <w:t xml:space="preserve">)</w:t>
      </w:r>
      <w:r>
        <w:t xml:space="preserve">,</w:t>
      </w:r>
      <w:r>
        <w:t xml:space="preserve"> </w:t>
      </w:r>
      <w:r>
        <w:t xml:space="preserve">(</w:t>
      </w:r>
      <w:hyperlink w:anchor="ref-wu2024a">
        <w:r>
          <w:rPr>
            <w:rStyle w:val="Hyperlink"/>
          </w:rPr>
          <w:t xml:space="preserve">24</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30</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31</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49"/>
    <w:bookmarkStart w:id="50" w:name="productivity-and-efficiency-evidence"/>
    <w:p>
      <w:pPr>
        <w:pStyle w:val="Heading3"/>
      </w:pPr>
      <w:r>
        <w:rPr>
          <w:rStyle w:val="SectionNumber"/>
        </w:rPr>
        <w:t xml:space="preserve">4.1.4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32</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32</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33</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33</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34</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35</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36</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37</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38</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39</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9</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40</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41</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10</w:t>
        </w:r>
      </w:hyperlink>
      <w:r>
        <w:t xml:space="preserve">)</w:t>
      </w:r>
      <w:r>
        <w:t xml:space="preserve">,</w:t>
      </w:r>
      <w:r>
        <w:t xml:space="preserve"> </w:t>
      </w:r>
      <w:r>
        <w:t xml:space="preserve">(</w:t>
      </w:r>
      <w:hyperlink w:anchor="ref-arora2025">
        <w:r>
          <w:rPr>
            <w:rStyle w:val="Hyperlink"/>
          </w:rPr>
          <w:t xml:space="preserve">11</w:t>
        </w:r>
      </w:hyperlink>
      <w:r>
        <w:t xml:space="preserve">)</w:t>
      </w:r>
      <w:r>
        <w:t xml:space="preserve">, suggesting that organizations investing in either capability simultaneously advance both.</w:t>
      </w:r>
    </w:p>
    <w:bookmarkEnd w:id="50"/>
    <w:bookmarkEnd w:id="51"/>
    <w:bookmarkStart w:id="56" w:name="state-of-healthcare-analytics-maturity"/>
    <w:p>
      <w:pPr>
        <w:pStyle w:val="Heading2"/>
      </w:pPr>
      <w:r>
        <w:rPr>
          <w:rStyle w:val="SectionNumber"/>
        </w:rPr>
        <w:t xml:space="preserve">4.2</w:t>
      </w:r>
      <w:r>
        <w:tab/>
      </w:r>
      <w:r>
        <w:t xml:space="preserve">State of Healthcare Analytics Maturity</w:t>
      </w:r>
    </w:p>
    <w:bookmarkStart w:id="52" w:name="low-organizational-maturity"/>
    <w:p>
      <w:pPr>
        <w:pStyle w:val="Heading3"/>
      </w:pPr>
      <w:r>
        <w:rPr>
          <w:rStyle w:val="SectionNumber"/>
        </w:rPr>
        <w:t xml:space="preserve">4.2.1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42</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5</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5</w:t>
        </w:r>
      </w:hyperlink>
      <w:r>
        <w:t xml:space="preserve">)</w:t>
      </w:r>
      <w:r>
        <w:t xml:space="preserve">,</w:t>
      </w:r>
      <w:r>
        <w:t xml:space="preserve"> </w:t>
      </w:r>
      <w:r>
        <w:t xml:space="preserve">(</w:t>
      </w:r>
      <w:hyperlink w:anchor="ref-wang2017">
        <w:r>
          <w:rPr>
            <w:rStyle w:val="Hyperlink"/>
          </w:rPr>
          <w:t xml:space="preserve">43</w:t>
        </w:r>
      </w:hyperlink>
      <w:r>
        <w:t xml:space="preserve">)</w:t>
      </w:r>
      <w:r>
        <w:t xml:space="preserve">. The newly revised AMAM model shifts focus from technical capabilities to outcomes, measuring the real impact of analytics on patient care, system-wide operations, and governance.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44</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45</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46</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47</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48</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49</w:t>
        </w:r>
      </w:hyperlink>
      <w:r>
        <w:t xml:space="preserve">)</w:t>
      </w:r>
      <w:r>
        <w:t xml:space="preserve"> </w:t>
      </w:r>
      <w:r>
        <w:t xml:space="preserve">or mortality</w:t>
      </w:r>
      <w:r>
        <w:t xml:space="preserve"> </w:t>
      </w:r>
      <w:r>
        <w:t xml:space="preserve">(</w:t>
      </w:r>
      <w:hyperlink w:anchor="ref-martin2019">
        <w:r>
          <w:rPr>
            <w:rStyle w:val="Hyperlink"/>
          </w:rPr>
          <w:t xml:space="preserve">50</w:t>
        </w:r>
      </w:hyperlink>
      <w:r>
        <w:t xml:space="preserve">)</w:t>
      </w:r>
      <w:r>
        <w:t xml:space="preserve">, suggesting that maturity alone is insufficient without workforce stability.</w:t>
      </w:r>
    </w:p>
    <w:bookmarkEnd w:id="52"/>
    <w:bookmarkStart w:id="53" w:name="barriers-to-analytics-adoption"/>
    <w:p>
      <w:pPr>
        <w:pStyle w:val="Heading3"/>
      </w:pPr>
      <w:r>
        <w:rPr>
          <w:rStyle w:val="SectionNumber"/>
        </w:rPr>
        <w:t xml:space="preserve">4.2.2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51</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52</w:t>
        </w:r>
      </w:hyperlink>
      <w:r>
        <w:t xml:space="preserve">)</w:t>
      </w:r>
      <w:r>
        <w:t xml:space="preserve">, a vendor-produced framework, corroborates these findings, documenting that most healthcare organizations remain at Stages 0-3, characterized by:</w:t>
      </w:r>
    </w:p>
    <w:p>
      <w:pPr>
        <w:pStyle w:val="Compact"/>
        <w:numPr>
          <w:ilvl w:val="0"/>
          <w:numId w:val="1018"/>
        </w:numPr>
      </w:pPr>
      <w:r>
        <w:t xml:space="preserve">Fragmented data sources without integration</w:t>
      </w:r>
    </w:p>
    <w:p>
      <w:pPr>
        <w:pStyle w:val="Compact"/>
        <w:numPr>
          <w:ilvl w:val="0"/>
          <w:numId w:val="1018"/>
        </w:numPr>
      </w:pPr>
      <w:r>
        <w:t xml:space="preserve">Limited automated reporting capabilities</w:t>
      </w:r>
    </w:p>
    <w:p>
      <w:pPr>
        <w:pStyle w:val="Compact"/>
        <w:numPr>
          <w:ilvl w:val="0"/>
          <w:numId w:val="1018"/>
        </w:numPr>
      </w:pPr>
      <w:r>
        <w:t xml:space="preserve">Lack of standardized data governance</w:t>
      </w:r>
    </w:p>
    <w:p>
      <w:pPr>
        <w:pStyle w:val="Compact"/>
        <w:numPr>
          <w:ilvl w:val="0"/>
          <w:numId w:val="1018"/>
        </w:numPr>
      </w:pPr>
      <w:r>
        <w:t xml:space="preserve">Minimal predictive or prescriptive analytics</w:t>
      </w:r>
    </w:p>
    <w:p>
      <w:pPr>
        <w:pStyle w:val="Compact"/>
        <w:numPr>
          <w:ilvl w:val="0"/>
          <w:numId w:val="1018"/>
        </w:numPr>
      </w:pPr>
      <w:r>
        <w:t xml:space="preserve">Absence of real-time decision support</w:t>
      </w:r>
    </w:p>
    <w:bookmarkEnd w:id="53"/>
    <w:bookmarkStart w:id="54" w:name="the-analytics-skills-gap"/>
    <w:p>
      <w:pPr>
        <w:pStyle w:val="Heading3"/>
      </w:pPr>
      <w:r>
        <w:rPr>
          <w:rStyle w:val="SectionNumber"/>
        </w:rPr>
        <w:t xml:space="preserve">4.2.3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26</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6</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7</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54"/>
    <w:bookmarkStart w:id="55" w:name="Xd7b008f104e4adb67a8cd8ff8bcb71d09bb7612"/>
    <w:p>
      <w:pPr>
        <w:pStyle w:val="Heading3"/>
      </w:pPr>
      <w:r>
        <w:rPr>
          <w:rStyle w:val="SectionNumber"/>
        </w:rPr>
        <w:t xml:space="preserve">4.2.4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53</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54</w:t>
        </w:r>
      </w:hyperlink>
      <w:r>
        <w:t xml:space="preserve">,</w:t>
      </w:r>
      <w:hyperlink w:anchor="ref-gokalp2023">
        <w:r>
          <w:rPr>
            <w:rStyle w:val="Hyperlink"/>
          </w:rPr>
          <w:t xml:space="preserve">55</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56</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57</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58</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59</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60</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61</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62</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63</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64</w:t>
        </w:r>
      </w:hyperlink>
      <w:r>
        <w:t xml:space="preserve">,</w:t>
      </w:r>
      <w:hyperlink w:anchor="ref-bokov2017">
        <w:r>
          <w:rPr>
            <w:rStyle w:val="Hyperlink"/>
          </w:rPr>
          <w:t xml:space="preserve">65</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66</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67</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68</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w:t>
      </w:r>
    </w:p>
    <w:bookmarkEnd w:id="55"/>
    <w:bookmarkEnd w:id="56"/>
    <w:bookmarkStart w:id="60" w:name="X033aaa01add75caa19416ed7b909f71ff5bd76d"/>
    <w:p>
      <w:pPr>
        <w:pStyle w:val="Heading2"/>
      </w:pPr>
      <w:r>
        <w:rPr>
          <w:rStyle w:val="SectionNumber"/>
        </w:rPr>
        <w:t xml:space="preserve">4.3</w:t>
      </w:r>
      <w:r>
        <w:tab/>
      </w:r>
      <w:r>
        <w:t xml:space="preserve">Healthcare Workforce Turnover and Knowledge Loss</w:t>
      </w:r>
    </w:p>
    <w:bookmarkStart w:id="57" w:name="turnover-rates-and-financial-impact"/>
    <w:p>
      <w:pPr>
        <w:pStyle w:val="Heading3"/>
      </w:pPr>
      <w:r>
        <w:rPr>
          <w:rStyle w:val="SectionNumber"/>
        </w:rPr>
        <w:t xml:space="preserve">4.3.1</w:t>
      </w:r>
      <w:r>
        <w:tab/>
      </w:r>
      <w:r>
        <w:t xml:space="preserve">Turnover Rates and Financial Impact</w:t>
      </w:r>
    </w:p>
    <w:p>
      <w:pPr>
        <w:pStyle w:val="FirstParagraph"/>
      </w:pPr>
      <w:r>
        <w:t xml:space="preserve">Multiple meta-analyses provide comprehensive data on healthcare workforce turnover. Wu et al.</w:t>
      </w:r>
      <w:r>
        <w:t xml:space="preserve"> </w:t>
      </w:r>
      <w:r>
        <w:t xml:space="preserve">(</w:t>
      </w:r>
      <w:hyperlink w:anchor="ref-wu2024">
        <w:r>
          <w:rPr>
            <w:rStyle w:val="Hyperlink"/>
          </w:rPr>
          <w:t xml:space="preserve">69</w:t>
        </w:r>
      </w:hyperlink>
      <w:r>
        <w:t xml:space="preserve">)</w:t>
      </w:r>
      <w:r>
        <w:t xml:space="preserve"> </w:t>
      </w:r>
      <w:r>
        <w:t xml:space="preserve">found a pooled prevalence of nurse turnover at 18% (95% CI: 11-26%), with individual study rates ranging from 2.2% to 50.0% across 15 countries, including a reported range of 11.7% to 46.7% within the United States. Ren et al.</w:t>
      </w:r>
      <w:r>
        <w:t xml:space="preserve"> </w:t>
      </w:r>
      <w:r>
        <w:t xml:space="preserve">(</w:t>
      </w:r>
      <w:hyperlink w:anchor="ref-ren2024">
        <w:r>
          <w:rPr>
            <w:rStyle w:val="Hyperlink"/>
          </w:rPr>
          <w:t xml:space="preserve">70</w:t>
        </w:r>
      </w:hyperlink>
      <w:r>
        <w:t xml:space="preserve">)</w:t>
      </w:r>
      <w:r>
        <w:t xml:space="preserve"> </w:t>
      </w:r>
      <w:r>
        <w:t xml:space="preserve">corroborated these findings with a global nurse turnover rate ranging from 8% to 36.6%, with a pooled rate of 16% (95% CI: 14-17%).</w:t>
      </w:r>
    </w:p>
    <w:p>
      <w:pPr>
        <w:pStyle w:val="BodyText"/>
      </w:pPr>
      <w:r>
        <w:t xml:space="preserve">The financial implications are substantial. Massingham</w:t>
      </w:r>
      <w:r>
        <w:t xml:space="preserve"> </w:t>
      </w:r>
      <w:r>
        <w:t xml:space="preserve">(</w:t>
      </w:r>
      <w:hyperlink w:anchor="ref-massingham2018">
        <w:r>
          <w:rPr>
            <w:rStyle w:val="Hyperlink"/>
          </w:rPr>
          <w:t xml:space="preserve">71</w:t>
        </w:r>
      </w:hyperlink>
      <w:r>
        <w:t xml:space="preserve">)</w:t>
      </w:r>
      <w:r>
        <w:t xml:space="preserve"> </w:t>
      </w:r>
      <w:r>
        <w:t xml:space="preserve">measured the impact of knowledge loss in a longitudinal study, finding that the total financial cost to address problems caused by knowledge loss reached three times the organization’s annual salary budget, including increased training costs, productivity losses, and project delays. Healthcare-specific evidence quantifies replacement costs in absolute terms: nurse turnover costs 1.2-1.3 times the registered nurse’s annual salary, with the highest cost categories being vacancy, orientation/training, and new employee productivity loss</w:t>
      </w:r>
      <w:r>
        <w:t xml:space="preserve"> </w:t>
      </w:r>
      <w:r>
        <w:t xml:space="preserve">(</w:t>
      </w:r>
      <w:hyperlink w:anchor="ref-jones2005">
        <w:r>
          <w:rPr>
            <w:rStyle w:val="Hyperlink"/>
          </w:rPr>
          <w:t xml:space="preserve">72</w:t>
        </w:r>
      </w:hyperlink>
      <w:r>
        <w:t xml:space="preserve">)</w:t>
      </w:r>
      <w:r>
        <w:t xml:space="preserve">; replacing a primary care clinician costs healthcare organizations over $500,000 due to lost revenue and recruiting expenses</w:t>
      </w:r>
      <w:r>
        <w:t xml:space="preserve"> </w:t>
      </w:r>
      <w:r>
        <w:t xml:space="preserve">(</w:t>
      </w:r>
      <w:hyperlink w:anchor="ref-willardgrace2019">
        <w:r>
          <w:rPr>
            <w:rStyle w:val="Hyperlink"/>
          </w:rPr>
          <w:t xml:space="preserve">73</w:t>
        </w:r>
      </w:hyperlink>
      <w:r>
        <w:t xml:space="preserve">)</w:t>
      </w:r>
      <w:r>
        <w:t xml:space="preserve">; while physician replacement can reach up to $1 million per departure, with national annual costs estimated at $4.6 billion</w:t>
      </w:r>
      <w:r>
        <w:t xml:space="preserve"> </w:t>
      </w:r>
      <w:r>
        <w:t xml:space="preserve">(</w:t>
      </w:r>
      <w:hyperlink w:anchor="ref-melnick2021">
        <w:r>
          <w:rPr>
            <w:rStyle w:val="Hyperlink"/>
          </w:rPr>
          <w:t xml:space="preserve">74</w:t>
        </w:r>
      </w:hyperlink>
      <w:r>
        <w:t xml:space="preserve">)</w:t>
      </w:r>
      <w:r>
        <w:t xml:space="preserve">. Vendor analysis from Oracle</w:t>
      </w:r>
      <w:r>
        <w:t xml:space="preserve"> </w:t>
      </w:r>
      <w:r>
        <w:t xml:space="preserve">(</w:t>
      </w:r>
      <w:hyperlink w:anchor="ref-oracle2024">
        <w:r>
          <w:rPr>
            <w:rStyle w:val="Hyperlink"/>
          </w:rPr>
          <w:t xml:space="preserve">75</w:t>
        </w:r>
      </w:hyperlink>
      <w:r>
        <w:t xml:space="preserve">)</w:t>
      </w:r>
      <w:r>
        <w:t xml:space="preserve"> </w:t>
      </w:r>
      <w:r>
        <w:t xml:space="preserve">corroborates these findings, documenting turnover costs at 0.5-2.0 times annual salary with knowledge-intensive positions reaching the higher end.</w:t>
      </w:r>
    </w:p>
    <w:p>
      <w:pPr>
        <w:pStyle w:val="BodyText"/>
      </w:pPr>
      <w:r>
        <w:t xml:space="preserve">Technical and analytics staff face even more severe turnover challenges. In their 2004 study, Ang and Slaughter</w:t>
      </w:r>
      <w:r>
        <w:t xml:space="preserve"> </w:t>
      </w:r>
      <w:r>
        <w:t xml:space="preserve">(</w:t>
      </w:r>
      <w:hyperlink w:anchor="ref-ang2004">
        <w:r>
          <w:rPr>
            <w:rStyle w:val="Hyperlink"/>
          </w:rPr>
          <w:t xml:space="preserve">4</w:t>
        </w:r>
      </w:hyperlink>
      <w:r>
        <w:t xml:space="preserve">)</w:t>
      </w:r>
      <w:r>
        <w:t xml:space="preserve"> </w:t>
      </w:r>
      <w:r>
        <w:t xml:space="preserve">found that IT professionals at healthcare provider institutions (where IT serves as a support function rather than core business) had an expected tenure of just 2.9 years for new hires, implying an effective turnover rate of ~34% for the incoming talent required to modernize capabilities. This creates a</w:t>
      </w:r>
      <w:r>
        <w:t xml:space="preserve"> </w:t>
      </w:r>
      <w:r>
        <w:t xml:space="preserve">“</w:t>
      </w:r>
      <w:r>
        <w:t xml:space="preserve">revolving door</w:t>
      </w:r>
      <w:r>
        <w:t xml:space="preserve">”</w:t>
      </w:r>
      <w:r>
        <w:t xml:space="preserve"> </w:t>
      </w:r>
      <w:r>
        <w:t xml:space="preserve">for innovation-focused staff, significantly higher than the 15.5% general turnover rate reported for the broader workforce, and compares unfavorably to the 9.68-year average tenure for IT managerial positions. While this data is now two decades old, contemporary evidence suggests the turnover challenge persists or has worsened. A 2025 analysis of nationally representative US survey data (n=44,732) found that 55% of public health informatics specialists intended to leave their positions</w:t>
      </w:r>
      <w:r>
        <w:t xml:space="preserve"> </w:t>
      </w:r>
      <w:r>
        <w:t xml:space="preserve">(</w:t>
      </w:r>
      <w:hyperlink w:anchor="ref-rajamani2025">
        <w:r>
          <w:rPr>
            <w:rStyle w:val="Hyperlink"/>
          </w:rPr>
          <w:t xml:space="preserve">20</w:t>
        </w:r>
      </w:hyperlink>
      <w:r>
        <w:t xml:space="preserve">)</w:t>
      </w:r>
      <w:r>
        <w:t xml:space="preserve">.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76</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77</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78</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79</w:t>
        </w:r>
      </w:hyperlink>
      <w:r>
        <w:t xml:space="preserve">)</w:t>
      </w:r>
      <w:r>
        <w:t xml:space="preserve">. Combined with the 2.9-year average tenure, healthcare IT professionals may operate at full productivity for only approximately two years before departing,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care continuity is well-documented. Clinical handover disruption is internationally recognized as a patient safety priority because it represents a fundamental disruption to continuity of care and is prone to errors</w:t>
      </w:r>
      <w:r>
        <w:t xml:space="preserve"> </w:t>
      </w:r>
      <w:r>
        <w:t xml:space="preserve">(</w:t>
      </w:r>
      <w:hyperlink w:anchor="ref-rangachari2020">
        <w:r>
          <w:rPr>
            <w:rStyle w:val="Hyperlink"/>
          </w:rPr>
          <w:t xml:space="preserve">80</w:t>
        </w:r>
      </w:hyperlink>
      <w:r>
        <w:t xml:space="preserve">)</w:t>
      </w:r>
      <w:r>
        <w:t xml:space="preserve">. Empirical studies demonstrate that nursing unit turnover reduces workgroup learning and is associated with increased patient falls, medication errors, and reduced patient satisfaction</w:t>
      </w:r>
      <w:r>
        <w:t xml:space="preserve"> </w:t>
      </w:r>
      <w:r>
        <w:t xml:space="preserve">(</w:t>
      </w:r>
      <w:hyperlink w:anchor="ref-bae2010">
        <w:r>
          <w:rPr>
            <w:rStyle w:val="Hyperlink"/>
          </w:rPr>
          <w:t xml:space="preserve">81</w:t>
        </w:r>
      </w:hyperlink>
      <w:r>
        <w:t xml:space="preserve">)</w:t>
      </w:r>
      <w:r>
        <w:t xml:space="preserve">. International evidence links high workforce turnover to poorer continuity of care, particularly in remote health services, with measurable outcomes including increased hospitalizations and years of life lost</w:t>
      </w:r>
      <w:r>
        <w:t xml:space="preserve"> </w:t>
      </w:r>
      <w:r>
        <w:t xml:space="preserve">(</w:t>
      </w:r>
      <w:hyperlink w:anchor="ref-wakerman2019">
        <w:r>
          <w:rPr>
            <w:rStyle w:val="Hyperlink"/>
          </w:rPr>
          <w:t xml:space="preserve">82</w:t>
        </w:r>
      </w:hyperlink>
      <w:r>
        <w:t xml:space="preserve">)</w:t>
      </w:r>
      <w:r>
        <w:t xml:space="preserve">. When senior executives and knowledge workers depart, organizations experience</w:t>
      </w:r>
      <w:r>
        <w:t xml:space="preserve"> </w:t>
      </w:r>
      <w:r>
        <w:t xml:space="preserve">“</w:t>
      </w:r>
      <w:r>
        <w:t xml:space="preserve">corporate memory loss</w:t>
      </w:r>
      <w:r>
        <w:t xml:space="preserve">”</w:t>
      </w:r>
      <w:r>
        <w:t xml:space="preserve"> </w:t>
      </w:r>
      <w:r>
        <w:t xml:space="preserve">that undermines organizational continuity and effectiveness</w:t>
      </w:r>
      <w:r>
        <w:t xml:space="preserve"> </w:t>
      </w:r>
      <w:r>
        <w:t xml:space="preserve">(</w:t>
      </w:r>
      <w:hyperlink w:anchor="ref-lahaie2005">
        <w:r>
          <w:rPr>
            <w:rStyle w:val="Hyperlink"/>
          </w:rPr>
          <w:t xml:space="preserve">83</w:t>
        </w:r>
      </w:hyperlink>
      <w:r>
        <w:t xml:space="preserve">)</w:t>
      </w:r>
      <w:r>
        <w:t xml:space="preserve">.</w:t>
      </w:r>
    </w:p>
    <w:bookmarkEnd w:id="57"/>
    <w:bookmarkStart w:id="58" w:name="institutional-memory-loss"/>
    <w:p>
      <w:pPr>
        <w:pStyle w:val="Heading3"/>
      </w:pPr>
      <w:r>
        <w:rPr>
          <w:rStyle w:val="SectionNumber"/>
        </w:rPr>
        <w:t xml:space="preserve">4.3.2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84</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85</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86</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87</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88</w:t>
        </w:r>
      </w:hyperlink>
      <w:r>
        <w:t xml:space="preserve">)</w:t>
      </w:r>
      <w:r>
        <w:t xml:space="preserve">.</w:t>
      </w:r>
    </w:p>
    <w:bookmarkEnd w:id="58"/>
    <w:bookmarkStart w:id="59" w:name="inadequacy-of-traditional-approaches"/>
    <w:p>
      <w:pPr>
        <w:pStyle w:val="Heading3"/>
      </w:pPr>
      <w:r>
        <w:rPr>
          <w:rStyle w:val="SectionNumber"/>
        </w:rPr>
        <w:t xml:space="preserve">4.3.3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mayo2016">
        <w:r>
          <w:rPr>
            <w:rStyle w:val="Hyperlink"/>
          </w:rPr>
          <w:t xml:space="preserve">84</w:t>
        </w:r>
      </w:hyperlink>
      <w:r>
        <w:t xml:space="preserve">,</w:t>
      </w:r>
      <w:hyperlink w:anchor="ref-shahbaz2019">
        <w:r>
          <w:rPr>
            <w:rStyle w:val="Hyperlink"/>
          </w:rPr>
          <w:t xml:space="preserve">89</w:t>
        </w:r>
      </w:hyperlink>
      <w:r>
        <w:t xml:space="preserve">)</w:t>
      </w:r>
      <w:r>
        <w:t xml:space="preserve">:</w:t>
      </w:r>
    </w:p>
    <w:p>
      <w:pPr>
        <w:pStyle w:val="Compact"/>
        <w:numPr>
          <w:ilvl w:val="0"/>
          <w:numId w:val="1019"/>
        </w:numPr>
      </w:pPr>
      <w:r>
        <w:t xml:space="preserve">Traditional knowledge transfer mechanisms show limited effectiveness</w:t>
      </w:r>
    </w:p>
    <w:p>
      <w:pPr>
        <w:pStyle w:val="Compact"/>
        <w:numPr>
          <w:ilvl w:val="0"/>
          <w:numId w:val="1019"/>
        </w:numPr>
      </w:pPr>
      <w:r>
        <w:t xml:space="preserve">Organizations struggle to capture and maintain analytical expertise</w:t>
      </w:r>
    </w:p>
    <w:p>
      <w:pPr>
        <w:pStyle w:val="Compact"/>
        <w:numPr>
          <w:ilvl w:val="0"/>
          <w:numId w:val="1019"/>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89</w:t>
        </w:r>
      </w:hyperlink>
      <w:r>
        <w:t xml:space="preserve">)</w:t>
      </w:r>
    </w:p>
    <w:p>
      <w:pPr>
        <w:pStyle w:val="Compact"/>
        <w:numPr>
          <w:ilvl w:val="0"/>
          <w:numId w:val="1019"/>
        </w:numPr>
      </w:pPr>
      <w:r>
        <w:t xml:space="preserve">Person-to-person knowledge transfer fails during rapid turnover cycles</w:t>
      </w:r>
    </w:p>
    <w:bookmarkEnd w:id="59"/>
    <w:bookmarkEnd w:id="60"/>
    <w:bookmarkStart w:id="64" w:name="Xca10dac733c4b284609ad3ca0d26f7400b78729"/>
    <w:p>
      <w:pPr>
        <w:pStyle w:val="Heading2"/>
      </w:pPr>
      <w:r>
        <w:rPr>
          <w:rStyle w:val="SectionNumber"/>
        </w:rPr>
        <w:t xml:space="preserve">4.4</w:t>
      </w:r>
      <w:r>
        <w:tab/>
      </w:r>
      <w:r>
        <w:t xml:space="preserve">Integration of Evidence: Synthesis Across Three Pillars</w:t>
      </w:r>
    </w:p>
    <w:bookmarkStart w:id="61" w:name="bridging-technical-and-domain-expertise"/>
    <w:p>
      <w:pPr>
        <w:pStyle w:val="Heading3"/>
      </w:pPr>
      <w:r>
        <w:rPr>
          <w:rStyle w:val="SectionNumber"/>
        </w:rPr>
        <w:t xml:space="preserve">4.4.1</w:t>
      </w:r>
      <w:r>
        <w:tab/>
      </w:r>
      <w:r>
        <w:t xml:space="preserve">Bridging Technical and Domain Expertise</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from these three domains reveals compounding effects that the three-pillar framework synthesizes. Natural language interfaces directly address the technical barriers identified in the literature by eliminating the need for SQL expertise while preserving the sophisticated query capabilities required for healthcare data.</w:t>
      </w:r>
    </w:p>
    <w:p>
      <w:pPr>
        <w:pStyle w:val="BodyText"/>
      </w:pPr>
      <w:r>
        <w:t xml:space="preserve">Low-code platforms and conversational AI represent complementary approaches to reducing technical barriers in healthcare analytics.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 both accelerate development cycles by abstracting technical complexity,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bookmarkEnd w:id="61"/>
    <w:bookmarkStart w:id="62" w:name="Xc272885ef3cb2467680850506ab8b3231a25658"/>
    <w:p>
      <w:pPr>
        <w:pStyle w:val="Heading3"/>
      </w:pPr>
      <w:r>
        <w:rPr>
          <w:rStyle w:val="SectionNumber"/>
        </w:rPr>
        <w:t xml:space="preserve">4.4.2</w:t>
      </w:r>
      <w:r>
        <w:tab/>
      </w:r>
      <w:r>
        <w:t xml:space="preserve">Knowledge Preservation Through Embedded Systems</w:t>
      </w:r>
    </w:p>
    <w:p>
      <w:pPr>
        <w:pStyle w:val="FirstParagraph"/>
      </w:pPr>
      <w:r>
        <w:t xml:space="preserve">The literature suggests that effective knowledge preservation requires active, embedded systems rather than passive documentation. When organizations choose to implement AI-based platforms, these can serve as organizational memory systems by:</w:t>
      </w:r>
    </w:p>
    <w:p>
      <w:pPr>
        <w:pStyle w:val="Compact"/>
        <w:numPr>
          <w:ilvl w:val="0"/>
          <w:numId w:val="1020"/>
        </w:numPr>
      </w:pPr>
      <w:r>
        <w:t xml:space="preserve">Capturing decision-making patterns through usage</w:t>
      </w:r>
    </w:p>
    <w:p>
      <w:pPr>
        <w:pStyle w:val="Compact"/>
        <w:numPr>
          <w:ilvl w:val="0"/>
          <w:numId w:val="1020"/>
        </w:numPr>
      </w:pPr>
      <w:r>
        <w:t xml:space="preserve">Encoding best practices in accessible formats</w:t>
      </w:r>
    </w:p>
    <w:p>
      <w:pPr>
        <w:pStyle w:val="Compact"/>
        <w:numPr>
          <w:ilvl w:val="0"/>
          <w:numId w:val="1020"/>
        </w:numPr>
      </w:pPr>
      <w:r>
        <w:t xml:space="preserve">Providing context-aware guidance to new users</w:t>
      </w:r>
    </w:p>
    <w:p>
      <w:pPr>
        <w:pStyle w:val="Compact"/>
        <w:numPr>
          <w:ilvl w:val="0"/>
          <w:numId w:val="1020"/>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p>
    <w:bookmarkEnd w:id="62"/>
    <w:bookmarkStart w:id="63" w:name="X33defb0ba4308c2b324fedd90e429c7c8fc7e98"/>
    <w:p>
      <w:pPr>
        <w:pStyle w:val="Heading3"/>
      </w:pPr>
      <w:r>
        <w:rPr>
          <w:rStyle w:val="SectionNumber"/>
        </w:rPr>
        <w:t xml:space="preserve">4.4.3</w:t>
      </w:r>
      <w:r>
        <w:tab/>
      </w:r>
      <w:r>
        <w:t xml:space="preserve">Empirical Support for Barrier-Reducing Technologies</w:t>
      </w:r>
    </w:p>
    <w:p>
      <w:pPr>
        <w:pStyle w:val="FirstParagraph"/>
      </w:pPr>
      <w:r>
        <w:t xml:space="preserve">Academic research provides growing evidence for both conversational AI and low-code approaches in healthcare, technologies that share the goal of reducing technical barriers to data-driven decision making. A foundational systematic review of AI conversational agents in healthcare</w:t>
      </w:r>
      <w:r>
        <w:t xml:space="preserve"> </w:t>
      </w:r>
      <w:r>
        <w:t xml:space="preserve">(</w:t>
      </w:r>
      <w:hyperlink w:anchor="ref-milneives2020">
        <w:r>
          <w:rPr>
            <w:rStyle w:val="Hyperlink"/>
          </w:rPr>
          <w:t xml:space="preserve">90</w:t>
        </w:r>
      </w:hyperlink>
      <w:r>
        <w:t xml:space="preserve">)</w:t>
      </w:r>
      <w:r>
        <w:t xml:space="preserve"> </w:t>
      </w:r>
      <w:r>
        <w:t xml:space="preserve">established that such systems reduce burden on healthcare resources and save providers’ time, though the review identified a need for more rigorous quantitative validation. Subsequent RCT-based systematic reviews provide this evidence: a meta-analysis of conversational agent interventions reported mean task completion rates of 83% (range 40-100%) across healthcare applications</w:t>
      </w:r>
      <w:r>
        <w:t xml:space="preserve"> </w:t>
      </w:r>
      <w:r>
        <w:t xml:space="preserve">(</w:t>
      </w:r>
      <w:hyperlink w:anchor="ref-li2023">
        <w:r>
          <w:rPr>
            <w:rStyle w:val="Hyperlink"/>
          </w:rPr>
          <w:t xml:space="preserve">91</w:t>
        </w:r>
      </w:hyperlink>
      <w:r>
        <w:t xml:space="preserve">)</w:t>
      </w:r>
      <w:r>
        <w:t xml:space="preserve">. Real-world validation at scale comes from a study of conversational AI across nine NHS mental health services involving 64,862 patients, demonstrating reduced clinician assessment time, shorter patient wait times, and lower dropout rates</w:t>
      </w:r>
      <w:r>
        <w:t xml:space="preserve"> </w:t>
      </w:r>
      <w:r>
        <w:t xml:space="preserve">(</w:t>
      </w:r>
      <w:hyperlink w:anchor="ref-rollwage2023">
        <w:r>
          <w:rPr>
            <w:rStyle w:val="Hyperlink"/>
          </w:rPr>
          <w:t xml:space="preserve">92</w:t>
        </w:r>
      </w:hyperlink>
      <w:r>
        <w:t xml:space="preserve">)</w:t>
      </w:r>
      <w:r>
        <w:t xml:space="preserve">. On the clinical AI side, Sezgin et al.</w:t>
      </w:r>
      <w:r>
        <w:t xml:space="preserve"> </w:t>
      </w:r>
      <w:r>
        <w:t xml:space="preserve">(</w:t>
      </w:r>
      <w:hyperlink w:anchor="ref-sezgin2022">
        <w:r>
          <w:rPr>
            <w:rStyle w:val="Hyperlink"/>
          </w:rPr>
          <w:t xml:space="preserve">93</w:t>
        </w:r>
      </w:hyperlink>
      <w:r>
        <w:t xml:space="preserve">)</w:t>
      </w:r>
      <w:r>
        <w:t xml:space="preserve"> </w:t>
      </w:r>
      <w:r>
        <w:t xml:space="preserve">demonstrated that GPT-3-powered chatbots can reduce overhead at clinics, while Jiao et al.</w:t>
      </w:r>
      <w:r>
        <w:t xml:space="preserve"> </w:t>
      </w:r>
      <w:r>
        <w:t xml:space="preserve">(</w:t>
      </w:r>
      <w:hyperlink w:anchor="ref-jiao2023">
        <w:r>
          <w:rPr>
            <w:rStyle w:val="Hyperlink"/>
          </w:rPr>
          <w:t xml:space="preserve">94</w:t>
        </w:r>
      </w:hyperlink>
      <w:r>
        <w:t xml:space="preserve">)</w:t>
      </w:r>
      <w:r>
        <w:t xml:space="preserve"> </w:t>
      </w:r>
      <w:r>
        <w:t xml:space="preserve">found AI adoption leads to cost savings through improved service delivery and shorter hospitalization lengths. Dai and Abramoff</w:t>
      </w:r>
      <w:r>
        <w:t xml:space="preserve"> </w:t>
      </w:r>
      <w:r>
        <w:t xml:space="preserve">(</w:t>
      </w:r>
      <w:hyperlink w:anchor="ref-dai2023">
        <w:r>
          <w:rPr>
            <w:rStyle w:val="Hyperlink"/>
          </w:rPr>
          <w:t xml:space="preserve">95</w:t>
        </w:r>
      </w:hyperlink>
      <w:r>
        <w:t xml:space="preserve">)</w:t>
      </w:r>
      <w:r>
        <w:t xml:space="preserve"> </w:t>
      </w:r>
      <w:r>
        <w:t xml:space="preserve">explain that AI generates predictions affordably, enabling earlier care that potentially prevents costly interventions.</w:t>
      </w:r>
    </w:p>
    <w:p>
      <w:pPr>
        <w:pStyle w:val="BodyText"/>
      </w:pPr>
      <w:r>
        <w:t xml:space="preserve">Low-code implementations provide parallel evidence for the benefits of barrier reduction. Berkshire Healthcare NHS Trust</w:t>
      </w:r>
      <w:r>
        <w:t xml:space="preserve"> </w:t>
      </w:r>
      <w:r>
        <w:t xml:space="preserve">(</w:t>
      </w:r>
      <w:hyperlink w:anchor="ref-berkshire2024">
        <w:r>
          <w:rPr>
            <w:rStyle w:val="Hyperlink"/>
          </w:rPr>
          <w:t xml:space="preserve">96</w:t>
        </w:r>
      </w:hyperlink>
      <w:r>
        <w:t xml:space="preserve">)</w:t>
      </w:r>
      <w:r>
        <w:t xml:space="preserve"> </w:t>
      </w:r>
      <w:r>
        <w:t xml:space="preserve">reports over 1,600 individuals creating solutions using Microsoft Power Platform. The NHS program demonstrates that healthcare professionals without IT expertise can use low-code tools to create custom solutions and apps, streamlining operations and enabling data-driven decisions. This evidence supports the broader principle that reducing technical barriers, whether through visual development or natural language interfaces, enables healthcare domain experts to leverage data directly. A systematic literature review of 17 peer-reviewed papers identified cost and time minimization as the most frequently discussed benefits of low-code development, with healthcare among the primary implementation domains</w:t>
      </w:r>
      <w:r>
        <w:t xml:space="preserve"> </w:t>
      </w:r>
      <w:r>
        <w:t xml:space="preserve">(</w:t>
      </w:r>
      <w:hyperlink w:anchor="ref-elkamouchi2023">
        <w:r>
          <w:rPr>
            <w:rStyle w:val="Hyperlink"/>
          </w:rPr>
          <w:t xml:space="preserve">97</w:t>
        </w:r>
      </w:hyperlink>
      <w:r>
        <w:t xml:space="preserve">)</w:t>
      </w:r>
      <w:r>
        <w:t xml:space="preserve">. Controlled experiments quantify these benefits: a comparative study of traditional versus low-code development for a healthcare cognitive rehabilitation system found low-code required 47.5 hours versus 888 hours for traditional development, representing a 94.63% reduction in effort</w:t>
      </w:r>
      <w:r>
        <w:t xml:space="preserve"> </w:t>
      </w:r>
      <w:r>
        <w:t xml:space="preserve">(</w:t>
      </w:r>
      <w:hyperlink w:anchor="ref-aveiro2023">
        <w:r>
          <w:rPr>
            <w:rStyle w:val="Hyperlink"/>
          </w:rPr>
          <w:t xml:space="preserve">98</w:t>
        </w:r>
      </w:hyperlink>
      <w:r>
        <w:t xml:space="preserve">)</w:t>
      </w:r>
      <w:r>
        <w:t xml:space="preserve">. Industry-sponsored research from Forrester</w:t>
      </w:r>
      <w:r>
        <w:t xml:space="preserve"> </w:t>
      </w:r>
      <w:r>
        <w:t xml:space="preserve">(</w:t>
      </w:r>
      <w:hyperlink w:anchor="ref-forrester2024">
        <w:r>
          <w:rPr>
            <w:rStyle w:val="Hyperlink"/>
          </w:rPr>
          <w:t xml:space="preserve">99</w:t>
        </w:r>
      </w:hyperlink>
      <w:r>
        <w:t xml:space="preserve">)</w:t>
      </w:r>
      <w:r>
        <w:t xml:space="preserve"> </w:t>
      </w:r>
      <w:r>
        <w:t xml:space="preserve">projects 206% three-year ROI from low-code implementations; peer-reviewed studies report similar findings, with healthcare institutions achieving 177% ROI over 36 months while reducing development time by 67% and technical resource requirements by 58%</w:t>
      </w:r>
      <w:r>
        <w:t xml:space="preserve"> </w:t>
      </w:r>
      <w:r>
        <w:t xml:space="preserve">(</w:t>
      </w:r>
      <w:hyperlink w:anchor="ref-mogili2025">
        <w:r>
          <w:rPr>
            <w:rStyle w:val="Hyperlink"/>
          </w:rPr>
          <w:t xml:space="preserve">100</w:t>
        </w:r>
      </w:hyperlink>
      <w:r>
        <w:t xml:space="preserve">)</w:t>
      </w:r>
      <w:r>
        <w:t xml:space="preserve">, and small healthcare clinics achieving 250% cumulative ROI over three years</w:t>
      </w:r>
      <w:r>
        <w:t xml:space="preserve"> </w:t>
      </w:r>
      <w:r>
        <w:t xml:space="preserve">(</w:t>
      </w:r>
      <w:hyperlink w:anchor="ref-pervaiz2025">
        <w:r>
          <w:rPr>
            <w:rStyle w:val="Hyperlink"/>
          </w:rPr>
          <w:t xml:space="preserve">101</w:t>
        </w:r>
      </w:hyperlink>
      <w:r>
        <w:t xml:space="preserve">)</w:t>
      </w:r>
      <w:r>
        <w:t xml:space="preserve">.</w:t>
      </w:r>
    </w:p>
    <w:p>
      <w:pPr>
        <w:pStyle w:val="BodyText"/>
      </w:pPr>
      <w:r>
        <w:t xml:space="preserve">Healthcare-specific studies show concrete benefits across both approaches: Pennington</w:t>
      </w:r>
      <w:r>
        <w:t xml:space="preserve"> </w:t>
      </w:r>
      <w:r>
        <w:t xml:space="preserve">(</w:t>
      </w:r>
      <w:hyperlink w:anchor="ref-pennington2023">
        <w:r>
          <w:rPr>
            <w:rStyle w:val="Hyperlink"/>
          </w:rPr>
          <w:t xml:space="preserve">102</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103</w:t>
        </w:r>
      </w:hyperlink>
      <w:r>
        <w:t xml:space="preserve">)</w:t>
      </w:r>
      <w:r>
        <w:t xml:space="preserve"> </w:t>
      </w:r>
      <w:r>
        <w:t xml:space="preserve">documented how low-code platforms enable non-technical staff to build applications, leading to efficiency gains. Rapid application development using low-code characteristics enabled an mHealth app for COVID-19 remote care that saved 2,822 hospital bed-days for 400 enrolled patients</w:t>
      </w:r>
      <w:r>
        <w:t xml:space="preserve"> </w:t>
      </w:r>
      <w:r>
        <w:t xml:space="preserve">(</w:t>
      </w:r>
      <w:hyperlink w:anchor="ref-tan2023">
        <w:r>
          <w:rPr>
            <w:rStyle w:val="Hyperlink"/>
          </w:rPr>
          <w:t xml:space="preserve">104</w:t>
        </w:r>
      </w:hyperlink>
      <w:r>
        <w:t xml:space="preserve">)</w:t>
      </w:r>
      <w:r>
        <w:t xml:space="preserve">. These findings collectively demonstrate that technologies enabling non-technical users to interact with complex systems, whether through visual interfaces or natural language, produce measurable organizational benefits.</w:t>
      </w:r>
    </w:p>
    <w:bookmarkEnd w:id="63"/>
    <w:bookmarkEnd w:id="64"/>
    <w:bookmarkStart w:id="68" w:name="Xe532debb859e62ad2038db373f15ff8608a8c3a"/>
    <w:p>
      <w:pPr>
        <w:pStyle w:val="Heading2"/>
      </w:pPr>
      <w:r>
        <w:rPr>
          <w:rStyle w:val="SectionNumber"/>
        </w:rPr>
        <w:t xml:space="preserve">4.5</w:t>
      </w:r>
      <w:r>
        <w:tab/>
      </w:r>
      <w:r>
        <w:t xml:space="preserve">Implications for Healthcare Organizations</w:t>
      </w:r>
    </w:p>
    <w:bookmarkStart w:id="65" w:name="Xda31a2d9f3faedf8d0d62ee49f3838d0ae1b3c5"/>
    <w:p>
      <w:pPr>
        <w:pStyle w:val="Heading3"/>
      </w:pPr>
      <w:r>
        <w:rPr>
          <w:rStyle w:val="SectionNumber"/>
        </w:rPr>
        <w:t xml:space="preserve">4.5.1</w:t>
      </w:r>
      <w:r>
        <w:tab/>
      </w:r>
      <w:r>
        <w:t xml:space="preserve">Framework Alignment with Industry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5"/>
    <w:bookmarkStart w:id="66" w:name="Xed5de637fc9df73f884d83cf394765ecb53834c"/>
    <w:p>
      <w:pPr>
        <w:pStyle w:val="Heading3"/>
      </w:pPr>
      <w:r>
        <w:rPr>
          <w:rStyle w:val="SectionNumber"/>
        </w:rPr>
        <w:t xml:space="preserve">4.5.2</w:t>
      </w:r>
      <w:r>
        <w:tab/>
      </w:r>
      <w:r>
        <w:t xml:space="preserve">ROI Evidence Across Barrier-Reducing Approaches</w:t>
      </w:r>
    </w:p>
    <w:p>
      <w:pPr>
        <w:pStyle w:val="FirstParagraph"/>
      </w:pPr>
      <w:r>
        <w:t xml:space="preserve">Academic research documents multiple pathways to ROI for barrier-reducing technologies in healthcare. Conversational AI implementations show direct benefits: Jiao et al.</w:t>
      </w:r>
      <w:r>
        <w:t xml:space="preserve"> </w:t>
      </w:r>
      <w:r>
        <w:t xml:space="preserve">(</w:t>
      </w:r>
      <w:hyperlink w:anchor="ref-jiao2023">
        <w:r>
          <w:rPr>
            <w:rStyle w:val="Hyperlink"/>
          </w:rPr>
          <w:t xml:space="preserve">94</w:t>
        </w:r>
      </w:hyperlink>
      <w:r>
        <w:t xml:space="preserve">)</w:t>
      </w:r>
      <w:r>
        <w:t xml:space="preserve"> </w:t>
      </w:r>
      <w:r>
        <w:t xml:space="preserve">found that AI-driven efficiency gains, including shorter hospitalization lengths, translate into financial and operational benefits for healthcare providers; Pennington</w:t>
      </w:r>
      <w:r>
        <w:t xml:space="preserve"> </w:t>
      </w:r>
      <w:r>
        <w:t xml:space="preserve">(</w:t>
      </w:r>
      <w:hyperlink w:anchor="ref-pennington2023">
        <w:r>
          <w:rPr>
            <w:rStyle w:val="Hyperlink"/>
          </w:rPr>
          <w:t xml:space="preserve">102</w:t>
        </w:r>
      </w:hyperlink>
      <w:r>
        <w:t xml:space="preserve">)</w:t>
      </w:r>
      <w:r>
        <w:t xml:space="preserve"> </w:t>
      </w:r>
      <w:r>
        <w:t xml:space="preserve">documented that AI in revenue cycle management accelerated payment cycles from 90 to 40 days, improving cash flow; and Sezgin et al.</w:t>
      </w:r>
      <w:r>
        <w:t xml:space="preserve"> </w:t>
      </w:r>
      <w:r>
        <w:t xml:space="preserve">(</w:t>
      </w:r>
      <w:hyperlink w:anchor="ref-sezgin2022">
        <w:r>
          <w:rPr>
            <w:rStyle w:val="Hyperlink"/>
          </w:rPr>
          <w:t xml:space="preserve">93</w:t>
        </w:r>
      </w:hyperlink>
      <w:r>
        <w:t xml:space="preserve">)</w:t>
      </w:r>
      <w:r>
        <w:t xml:space="preserve"> </w:t>
      </w:r>
      <w:r>
        <w:t xml:space="preserve">proposed chatbot implementations that reduce clinic overhead.</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99</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97</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100</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101</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105</w:t>
        </w:r>
      </w:hyperlink>
      <w:r>
        <w:t xml:space="preserve">)</w:t>
      </w:r>
      <w:r>
        <w:t xml:space="preserve"> </w:t>
      </w:r>
      <w:r>
        <w:t xml:space="preserve">projects the healthcare analytics market to grow from $64.49 billion in 2025 to $369.66 billion by 2034 (21.41% CAGR).</w:t>
      </w:r>
    </w:p>
    <w:bookmarkEnd w:id="66"/>
    <w:bookmarkStart w:id="67" w:name="knowledge-preservation-as-risk-factor"/>
    <w:p>
      <w:pPr>
        <w:pStyle w:val="Heading3"/>
      </w:pPr>
      <w:r>
        <w:rPr>
          <w:rStyle w:val="SectionNumber"/>
        </w:rPr>
        <w:t xml:space="preserve">4.5.3</w:t>
      </w:r>
      <w:r>
        <w:tab/>
      </w:r>
      <w:r>
        <w:t xml:space="preserve">Knowledge Preservation as Risk Factor</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106</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107</w:t>
        </w:r>
      </w:hyperlink>
      <w:r>
        <w:t xml:space="preserve">)</w:t>
      </w:r>
      <w:r>
        <w:t xml:space="preserve">. This theoretical foundation supports embedding organizational knowledge in systems rather than individuals, ensuring continuity despite workforce turnover.</w:t>
      </w:r>
    </w:p>
    <w:bookmarkEnd w:id="67"/>
    <w:bookmarkEnd w:id="68"/>
    <w:bookmarkStart w:id="69"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21"/>
        </w:numPr>
      </w:pPr>
      <w:r>
        <w:rPr>
          <w:b/>
          <w:bCs/>
        </w:rPr>
        <w:t xml:space="preserve">Long-term outcomes</w:t>
      </w:r>
      <w:r>
        <w:t xml:space="preserve">: Most studies examine 6-24 month implementations; multi-year impacts remain understudied</w:t>
      </w:r>
    </w:p>
    <w:p>
      <w:pPr>
        <w:pStyle w:val="Compact"/>
        <w:numPr>
          <w:ilvl w:val="0"/>
          <w:numId w:val="1021"/>
        </w:numPr>
      </w:pPr>
      <w:r>
        <w:rPr>
          <w:b/>
          <w:bCs/>
        </w:rPr>
        <w:t xml:space="preserve">Scalability across specialties</w:t>
      </w:r>
      <w:r>
        <w:t xml:space="preserve">: Evidence primarily focuses on general acute care; specialty-specific applications need investigation</w:t>
      </w:r>
    </w:p>
    <w:p>
      <w:pPr>
        <w:pStyle w:val="Compact"/>
        <w:numPr>
          <w:ilvl w:val="0"/>
          <w:numId w:val="1021"/>
        </w:numPr>
      </w:pPr>
      <w:r>
        <w:rPr>
          <w:b/>
          <w:bCs/>
        </w:rPr>
        <w:t xml:space="preserve">Governance frameworks</w:t>
      </w:r>
      <w:r>
        <w:t xml:space="preserve">: Limited research on optimal governance models for democratized analytics</w:t>
      </w:r>
    </w:p>
    <w:p>
      <w:pPr>
        <w:pStyle w:val="Compact"/>
        <w:numPr>
          <w:ilvl w:val="0"/>
          <w:numId w:val="1021"/>
        </w:numPr>
      </w:pPr>
      <w:r>
        <w:rPr>
          <w:b/>
          <w:bCs/>
        </w:rPr>
        <w:t xml:space="preserve">Training methodologies</w:t>
      </w:r>
      <w:r>
        <w:t xml:space="preserve">: Best practices for transitioning from traditional to conversational analytics lack empirical validation</w:t>
      </w:r>
    </w:p>
    <w:p>
      <w:pPr>
        <w:pStyle w:val="Compact"/>
        <w:numPr>
          <w:ilvl w:val="0"/>
          <w:numId w:val="1021"/>
        </w:numPr>
      </w:pPr>
      <w:r>
        <w:rPr>
          <w:b/>
          <w:bCs/>
        </w:rPr>
        <w:t xml:space="preserve">Integration patterns</w:t>
      </w:r>
      <w:r>
        <w:t xml:space="preserve">: Architectural guidance for incorporating conversational AI into existing healthcare IT ecosystems remains sparse</w:t>
      </w:r>
    </w:p>
    <w:p>
      <w:pPr>
        <w:pStyle w:val="Compact"/>
        <w:numPr>
          <w:ilvl w:val="0"/>
          <w:numId w:val="1021"/>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33</w:t>
        </w:r>
      </w:hyperlink>
      <w:r>
        <w:t xml:space="preserve">)</w:t>
      </w:r>
      <w:r>
        <w:t xml:space="preserve">,</w:t>
      </w:r>
      <w:r>
        <w:t xml:space="preserve"> </w:t>
      </w:r>
      <w:r>
        <w:t xml:space="preserve">(</w:t>
      </w:r>
      <w:hyperlink w:anchor="ref-dadi2025">
        <w:r>
          <w:rPr>
            <w:rStyle w:val="Hyperlink"/>
          </w:rPr>
          <w:t xml:space="preserve">32</w:t>
        </w:r>
      </w:hyperlink>
      <w:r>
        <w:t xml:space="preserve">)</w:t>
      </w:r>
      <w:r>
        <w:t xml:space="preserve">,</w:t>
      </w:r>
      <w:r>
        <w:t xml:space="preserve"> </w:t>
      </w:r>
      <w:r>
        <w:t xml:space="preserve">(</w:t>
      </w:r>
      <w:hyperlink w:anchor="ref-shah2020">
        <w:r>
          <w:rPr>
            <w:rStyle w:val="Hyperlink"/>
          </w:rPr>
          <w:t xml:space="preserve">36</w:t>
        </w:r>
      </w:hyperlink>
      <w:r>
        <w:t xml:space="preserve">)</w:t>
      </w:r>
      <w:r>
        <w:t xml:space="preserve">,</w:t>
      </w:r>
      <w:r>
        <w:t xml:space="preserve"> </w:t>
      </w:r>
      <w:r>
        <w:t xml:space="preserve">(</w:t>
      </w:r>
      <w:hyperlink w:anchor="ref-ipeirotis2025">
        <w:r>
          <w:rPr>
            <w:rStyle w:val="Hyperlink"/>
          </w:rPr>
          <w:t xml:space="preserve">35</w:t>
        </w:r>
      </w:hyperlink>
      <w:r>
        <w:t xml:space="preserve">)</w:t>
      </w:r>
      <w:r>
        <w:t xml:space="preserve">), longitudinal studies tracking sustained productivity improvements over multiple years remain limited</w:t>
      </w:r>
    </w:p>
    <w:p>
      <w:pPr>
        <w:pStyle w:val="Compact"/>
        <w:numPr>
          <w:ilvl w:val="0"/>
          <w:numId w:val="1021"/>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96</w:t>
        </w:r>
      </w:hyperlink>
      <w:r>
        <w:t xml:space="preserve">)</w:t>
      </w:r>
      <w:r>
        <w:t xml:space="preserve">, the methodology for quantifying their productivity contributions lacks standardization across studies</w:t>
      </w:r>
    </w:p>
    <w:p>
      <w:pPr>
        <w:pStyle w:val="Compact"/>
        <w:numPr>
          <w:ilvl w:val="0"/>
          <w:numId w:val="1021"/>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44</w:t>
        </w:r>
      </w:hyperlink>
      <w:r>
        <w:t xml:space="preserve">,</w:t>
      </w:r>
      <w:hyperlink w:anchor="ref-snowdon2024a">
        <w:r>
          <w:rPr>
            <w:rStyle w:val="Hyperlink"/>
          </w:rPr>
          <w:t xml:space="preserve">45</w:t>
        </w:r>
      </w:hyperlink>
      <w:r>
        <w:t xml:space="preserve">)</w:t>
      </w:r>
      <w:r>
        <w:t xml:space="preserve">. As of this review, AMAM-specific outcome studies remain very limited, providing only emerging evidence for analytics maturity (as distinct from EHR adoption) impact on outcomes</w:t>
      </w:r>
    </w:p>
    <w:bookmarkEnd w:id="69"/>
    <w:bookmarkStart w:id="72"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70"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17</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108</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109</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110</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111</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systems where machines learn from structured data but physicians work with unstructured, complex clinical information</w:t>
      </w:r>
      <w:r>
        <w:t xml:space="preserve"> </w:t>
      </w:r>
      <w:r>
        <w:t xml:space="preserve">(</w:t>
      </w:r>
      <w:hyperlink w:anchor="ref-strickland2019">
        <w:r>
          <w:rPr>
            <w:rStyle w:val="Hyperlink"/>
          </w:rPr>
          <w:t xml:space="preserve">112</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113</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114</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115</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116</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70"/>
    <w:bookmarkStart w:id="71"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71"/>
    <w:bookmarkEnd w:id="72"/>
    <w:bookmarkEnd w:id="73"/>
    <w:bookmarkStart w:id="97" w:name="discussion"/>
    <w:p>
      <w:pPr>
        <w:pStyle w:val="Heading1"/>
      </w:pPr>
      <w:r>
        <w:rPr>
          <w:rStyle w:val="SectionNumber"/>
        </w:rPr>
        <w:t xml:space="preserve">5</w:t>
      </w:r>
      <w:r>
        <w:tab/>
      </w:r>
      <w:r>
        <w:t xml:space="preserve">Discussion</w:t>
      </w:r>
    </w:p>
    <w:bookmarkStart w:id="79"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4" w:name="validated-benchmarking-data"/>
    <w:p>
      <w:pPr>
        <w:pStyle w:val="Heading3"/>
      </w:pPr>
      <w:r>
        <w:rPr>
          <w:rStyle w:val="SectionNumber"/>
        </w:rPr>
        <w:t xml:space="preserve">5.1.1</w:t>
      </w:r>
      <w:r>
        <w:tab/>
      </w:r>
      <w:r>
        <w:t xml:space="preserve">Validated Benchmarking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23</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24</w:t>
        </w:r>
      </w:hyperlink>
      <w:r>
        <w:t xml:space="preserve">)</w:t>
      </w:r>
      <w:r>
        <w:t xml:space="preserve"> </w:t>
      </w:r>
      <w:r>
        <w:t xml:space="preserve">offer reproducible, quantitative performance metrics.</w:t>
      </w:r>
    </w:p>
    <w:bookmarkEnd w:id="74"/>
    <w:bookmarkStart w:id="75" w:name="real-world-implementation-evidence"/>
    <w:p>
      <w:pPr>
        <w:pStyle w:val="Heading3"/>
      </w:pPr>
      <w:r>
        <w:rPr>
          <w:rStyle w:val="SectionNumber"/>
        </w:rPr>
        <w:t xml:space="preserve">5.1.2</w:t>
      </w:r>
      <w:r>
        <w:tab/>
      </w:r>
      <w:r>
        <w:t xml:space="preserve">Real-World Implementation Evidence</w:t>
      </w:r>
    </w:p>
    <w:p>
      <w:pPr>
        <w:pStyle w:val="FirstParagraph"/>
      </w:pPr>
      <w:r>
        <w:t xml:space="preserve">The Berkshire Healthcare NHS Trust case</w:t>
      </w:r>
      <w:r>
        <w:t xml:space="preserve"> </w:t>
      </w:r>
      <w:r>
        <w:t xml:space="preserve">(</w:t>
      </w:r>
      <w:hyperlink w:anchor="ref-berkshire2024">
        <w:r>
          <w:rPr>
            <w:rStyle w:val="Hyperlink"/>
          </w:rPr>
          <w:t xml:space="preserve">96</w:t>
        </w:r>
      </w:hyperlink>
      <w:r>
        <w:t xml:space="preserve">)</w:t>
      </w:r>
      <w:r>
        <w:t xml:space="preserve"> </w:t>
      </w:r>
      <w:r>
        <w:t xml:space="preserve">demonstrates successful low-code adoption in healthcare, with over 800 citizen developers creating solutions. This provides concrete evidence that non-technical healthcare professionals can effectively use these platforms.</w:t>
      </w:r>
    </w:p>
    <w:bookmarkEnd w:id="75"/>
    <w:bookmarkStart w:id="76" w:name="reveals-interconnected-challenges"/>
    <w:p>
      <w:pPr>
        <w:pStyle w:val="Heading3"/>
      </w:pPr>
      <w:r>
        <w:rPr>
          <w:rStyle w:val="SectionNumber"/>
        </w:rPr>
        <w:t xml:space="preserve">5.1.3</w:t>
      </w:r>
      <w:r>
        <w:tab/>
      </w:r>
      <w:r>
        <w:t xml:space="preserve">Reveals Interconnected Challenges</w:t>
      </w:r>
    </w:p>
    <w:p>
      <w:pPr>
        <w:pStyle w:val="FirstParagraph"/>
      </w:pPr>
      <w:r>
        <w:t xml:space="preserve">The framework illuminates how technical barriers, analytics maturity constraints, and institutional memory loss compound each other, explaining why single-pillar interventions often fail. This integrated perspective enables healthcare organizations to understand why addressing one challenge in isolation may not produce lasting improvement.</w:t>
      </w:r>
    </w:p>
    <w:bookmarkEnd w:id="76"/>
    <w:bookmarkStart w:id="77" w:name="strong-economic-justification"/>
    <w:p>
      <w:pPr>
        <w:pStyle w:val="Heading3"/>
      </w:pPr>
      <w:r>
        <w:rPr>
          <w:rStyle w:val="SectionNumber"/>
        </w:rPr>
        <w:t xml:space="preserve">5.1.4</w:t>
      </w:r>
      <w:r>
        <w:tab/>
      </w:r>
      <w:r>
        <w:t xml:space="preserve">Strong 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99</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105</w:t>
        </w:r>
      </w:hyperlink>
      <w:r>
        <w:t xml:space="preserve">)</w:t>
      </w:r>
      <w:r>
        <w:t xml:space="preserve"> </w:t>
      </w:r>
      <w:r>
        <w:t xml:space="preserve">showing the healthcare analytics market expanding from $64.49B to $369.66B by 2034 indicate sustained investment demand.</w:t>
      </w:r>
    </w:p>
    <w:bookmarkEnd w:id="77"/>
    <w:bookmarkStart w:id="78" w:name="honest-assessment-of-limitations"/>
    <w:p>
      <w:pPr>
        <w:pStyle w:val="Heading3"/>
      </w:pPr>
      <w:r>
        <w:rPr>
          <w:rStyle w:val="SectionNumber"/>
        </w:rPr>
        <w:t xml:space="preserve">5.1.5</w:t>
      </w:r>
      <w:r>
        <w:tab/>
      </w:r>
      <w:r>
        <w:t xml:space="preserve">Honest Assessment of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18</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4</w:t>
        </w:r>
      </w:hyperlink>
      <w:r>
        <w:t xml:space="preserve">,</w:t>
      </w:r>
      <w:hyperlink w:anchor="ref-wu2024a">
        <w:r>
          <w:rPr>
            <w:rStyle w:val="Hyperlink"/>
          </w:rPr>
          <w:t xml:space="preserve">24</w:t>
        </w:r>
      </w:hyperlink>
      <w:r>
        <w:t xml:space="preserve">)</w:t>
      </w:r>
      <w:r>
        <w:t xml:space="preserve"> </w:t>
      </w:r>
      <w:r>
        <w:t xml:space="preserve">show significant gaps between benchmark performance and clinical readiness. This honest assessment enables appropriate implementation strategies.</w:t>
      </w:r>
    </w:p>
    <w:bookmarkEnd w:id="78"/>
    <w:bookmarkEnd w:id="79"/>
    <w:bookmarkStart w:id="86" w:name="limitations-and-constraints"/>
    <w:p>
      <w:pPr>
        <w:pStyle w:val="Heading2"/>
      </w:pPr>
      <w:r>
        <w:rPr>
          <w:rStyle w:val="SectionNumber"/>
        </w:rPr>
        <w:t xml:space="preserve">5.2</w:t>
      </w:r>
      <w:r>
        <w:tab/>
      </w:r>
      <w:r>
        <w:t xml:space="preserve">Limitations and Constraints</w:t>
      </w:r>
    </w:p>
    <w:p>
      <w:pPr>
        <w:pStyle w:val="FirstParagraph"/>
      </w:pPr>
      <w:r>
        <w:t xml:space="preserve">Despite strong evidence supporting conversational AI adoption, several limitations must be acknowledged:</w:t>
      </w:r>
    </w:p>
    <w:bookmarkStart w:id="80"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8</w:t>
        </w:r>
      </w:hyperlink>
      <w:r>
        <w:t xml:space="preserve">)</w:t>
      </w:r>
      <w:r>
        <w:t xml:space="preserve">.</w:t>
      </w:r>
    </w:p>
    <w:bookmarkEnd w:id="80"/>
    <w:bookmarkStart w:id="81"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81"/>
    <w:bookmarkStart w:id="82"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82"/>
    <w:bookmarkStart w:id="83"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83"/>
    <w:bookmarkStart w:id="84"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84"/>
    <w:bookmarkStart w:id="85"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5"/>
    <w:bookmarkEnd w:id="86"/>
    <w:bookmarkStart w:id="90"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7"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2"/>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22"/>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22"/>
        </w:numPr>
      </w:pPr>
      <w:r>
        <w:rPr>
          <w:b/>
          <w:bCs/>
        </w:rPr>
        <w:t xml:space="preserve">Governance Framework Development</w:t>
      </w:r>
      <w:r>
        <w:t xml:space="preserve">: Research on optimal governance models for democratized analytics</w:t>
      </w:r>
    </w:p>
    <w:bookmarkEnd w:id="87"/>
    <w:bookmarkStart w:id="88"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3"/>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3"/>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3"/>
        </w:numPr>
      </w:pPr>
      <w:r>
        <w:rPr>
          <w:b/>
          <w:bCs/>
        </w:rPr>
        <w:t xml:space="preserve">Longitudinal Outcome Studies</w:t>
      </w:r>
      <w:r>
        <w:t xml:space="preserve">: Multi-year implementations to assess sustained benefits and organizational evolution</w:t>
      </w:r>
    </w:p>
    <w:p>
      <w:pPr>
        <w:pStyle w:val="Compact"/>
        <w:numPr>
          <w:ilvl w:val="0"/>
          <w:numId w:val="1023"/>
        </w:numPr>
      </w:pPr>
      <w:r>
        <w:rPr>
          <w:b/>
          <w:bCs/>
        </w:rPr>
        <w:t xml:space="preserve">Comparative Effectiveness Research</w:t>
      </w:r>
      <w:r>
        <w:t xml:space="preserve">: Head-to-head comparisons of different conversational AI approaches on healthcare-specific benchmarks</w:t>
      </w:r>
    </w:p>
    <w:bookmarkEnd w:id="88"/>
    <w:bookmarkStart w:id="89"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4"/>
        </w:numPr>
      </w:pPr>
      <w:r>
        <w:rPr>
          <w:b/>
          <w:bCs/>
        </w:rPr>
        <w:t xml:space="preserve">Organizational Transformation Studies</w:t>
      </w:r>
      <w:r>
        <w:t xml:space="preserve">: Research on how conversational AI platforms reshape healthcare organizational capabilities</w:t>
      </w:r>
    </w:p>
    <w:p>
      <w:pPr>
        <w:pStyle w:val="Compact"/>
        <w:numPr>
          <w:ilvl w:val="0"/>
          <w:numId w:val="1024"/>
        </w:numPr>
      </w:pPr>
      <w:r>
        <w:rPr>
          <w:b/>
          <w:bCs/>
        </w:rPr>
        <w:t xml:space="preserve">Clinical Outcome Impact Assessment</w:t>
      </w:r>
      <w:r>
        <w:t xml:space="preserve">: Studies linking improved analytics access to patient care outcomes</w:t>
      </w:r>
    </w:p>
    <w:p>
      <w:pPr>
        <w:pStyle w:val="Compact"/>
        <w:numPr>
          <w:ilvl w:val="0"/>
          <w:numId w:val="1024"/>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9"/>
    <w:bookmarkEnd w:id="90"/>
    <w:bookmarkStart w:id="91"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p>
    <w:p>
      <w:pPr>
        <w:pStyle w:val="BodyText"/>
      </w:pPr>
      <w:r>
        <w:t xml:space="preserve">Validated query pairs address each weakness. First, validated pairs are executable: they can be tested against current data to verify continued correctness, unlike static documentation. Second, validated pairs capture the complete mapping from business question to data retrieval logic, embedding the contextual judgment that documentation typically omits (why this join, why this filter, why this aggregation). Third, validation happens at the point of use rather than as a separate maintenance task: every confirmed query becomes a knowledge artifact without additional documentation effort.</w:t>
      </w:r>
    </w:p>
    <w:p>
      <w:pPr>
        <w:pStyle w:val="BodyText"/>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p>
    <w:bookmarkEnd w:id="91"/>
    <w:bookmarkStart w:id="96" w:name="X655f7faf8ada965dcdcaa0e7f463cb4a3ee5bd1"/>
    <w:p>
      <w:pPr>
        <w:pStyle w:val="Heading2"/>
      </w:pPr>
      <w:r>
        <w:rPr>
          <w:rStyle w:val="SectionNumber"/>
        </w:rPr>
        <w:t xml:space="preserve">5.5</w:t>
      </w:r>
      <w:r>
        <w:tab/>
      </w:r>
      <w:r>
        <w:t xml:space="preserve">Implications for Healthcare Organizations</w:t>
      </w:r>
    </w:p>
    <w:p>
      <w:pPr>
        <w:pStyle w:val="FirstParagraph"/>
      </w:pPr>
      <w:r>
        <w:t xml:space="preserve">The evidence has implications for healthcare leaders considering analytics strategy:</w:t>
      </w:r>
    </w:p>
    <w:bookmarkStart w:id="92" w:name="X2f23efe7d260cae22651f913590ba1e30f02493"/>
    <w:p>
      <w:pPr>
        <w:pStyle w:val="Heading3"/>
      </w:pPr>
      <w:r>
        <w:rPr>
          <w:rStyle w:val="SectionNumber"/>
        </w:rPr>
        <w:t xml:space="preserve">5.5.1</w:t>
      </w:r>
      <w:r>
        <w:tab/>
      </w:r>
      <w:r>
        <w:t xml:space="preserve">Organizational Assessment Using the Three-Pillar Framework</w:t>
      </w:r>
    </w:p>
    <w:p>
      <w:pPr>
        <w:pStyle w:val="FirstParagraph"/>
      </w:pPr>
      <w:r>
        <w:t xml:space="preserve">The three-pillar framework provides a structured approach for organizational self-assessment:</w:t>
      </w:r>
    </w:p>
    <w:p>
      <w:pPr>
        <w:pStyle w:val="Compact"/>
        <w:numPr>
          <w:ilvl w:val="0"/>
          <w:numId w:val="1025"/>
        </w:numPr>
      </w:pPr>
      <w:r>
        <w:rPr>
          <w:b/>
          <w:bCs/>
        </w:rPr>
        <w:t xml:space="preserve">Analytics Maturity Assessment</w:t>
      </w:r>
      <w:r>
        <w:t xml:space="preserve">: Where does the organization currently stand on the HIMSS AMAM scale? What capabilities are needed to advance?</w:t>
      </w:r>
    </w:p>
    <w:p>
      <w:pPr>
        <w:pStyle w:val="Compact"/>
        <w:numPr>
          <w:ilvl w:val="0"/>
          <w:numId w:val="1025"/>
        </w:numPr>
      </w:pPr>
      <w:r>
        <w:rPr>
          <w:b/>
          <w:bCs/>
        </w:rPr>
        <w:t xml:space="preserve">Workforce Knowledge Audit</w:t>
      </w:r>
      <w:r>
        <w:t xml:space="preserve">: What tacit knowledge resides with individual staff members? How vulnerable is the organization to knowledge loss through turnover?</w:t>
      </w:r>
    </w:p>
    <w:p>
      <w:pPr>
        <w:pStyle w:val="Compact"/>
        <w:numPr>
          <w:ilvl w:val="0"/>
          <w:numId w:val="1025"/>
        </w:numPr>
      </w:pPr>
      <w:r>
        <w:rPr>
          <w:b/>
          <w:bCs/>
        </w:rPr>
        <w:t xml:space="preserve">Technical Barrier Inventory</w:t>
      </w:r>
      <w:r>
        <w:t xml:space="preserve">: What technical skills are currently required for data access? Which clinical questions go unanswered due to technical barriers?</w:t>
      </w:r>
    </w:p>
    <w:bookmarkEnd w:id="92"/>
    <w:bookmarkStart w:id="93"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Analytics Maturity Indicators:</w:t>
      </w:r>
    </w:p>
    <w:tbl>
      <w:tblPr>
        <w:tblStyle w:val="Table"/>
        <w:tblW w:type="pct" w:w="5000"/>
        <w:jc w:val="left"/>
        <w:tblLayout w:type="fixed"/>
        <w:tblLook w:firstRow="1" w:lastRow="0" w:firstColumn="0" w:lastColumn="0" w:noHBand="0" w:noVBand="0" w:val="0020"/>
      </w:tblPr>
      <w:tblGrid>
        <w:gridCol w:w="1428"/>
        <w:gridCol w:w="1558"/>
        <w:gridCol w:w="1947"/>
        <w:gridCol w:w="1687"/>
        <w:gridCol w:w="1298"/>
      </w:tblGrid>
      <w:tr>
        <w:trPr>
          <w:tblHeader w:val="on"/>
        </w:trPr>
        <w:tc>
          <w:tcPr/>
          <w:p>
            <w:pPr>
              <w:pStyle w:val="Compact"/>
              <w:jc w:val="left"/>
            </w:pPr>
            <w:r>
              <w:t xml:space="preserve">Indicator</w:t>
            </w:r>
          </w:p>
        </w:tc>
        <w:tc>
          <w:tcPr/>
          <w:p>
            <w:pPr>
              <w:pStyle w:val="Compact"/>
              <w:jc w:val="left"/>
            </w:pPr>
            <w:r>
              <w:t xml:space="preserve">Lower Risk</w:t>
            </w:r>
          </w:p>
        </w:tc>
        <w:tc>
          <w:tcPr/>
          <w:p>
            <w:pPr>
              <w:pStyle w:val="Compact"/>
              <w:jc w:val="left"/>
            </w:pPr>
            <w:r>
              <w:t xml:space="preserve">Moderate Risk</w:t>
            </w:r>
          </w:p>
        </w:tc>
        <w:tc>
          <w:tcPr/>
          <w:p>
            <w:pPr>
              <w:pStyle w:val="Compact"/>
              <w:jc w:val="left"/>
            </w:pPr>
            <w:r>
              <w:t xml:space="preserve">Higher Risk</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5-7: Predictive analytics, AI integration</w:t>
            </w:r>
          </w:p>
        </w:tc>
        <w:tc>
          <w:tcPr/>
          <w:p>
            <w:pPr>
              <w:pStyle w:val="Compact"/>
              <w:jc w:val="left"/>
            </w:pPr>
            <w:r>
              <w:t xml:space="preserve">Stages 3-4: Integrated warehouse, standardized definitions</w:t>
            </w:r>
          </w:p>
        </w:tc>
        <w:tc>
          <w:tcPr/>
          <w:p>
            <w:pPr>
              <w:pStyle w:val="Compact"/>
              <w:jc w:val="left"/>
            </w:pPr>
            <w:r>
              <w:t xml:space="preserve">Stages 0-2: Fragmented data, limited reporting</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52</w:t>
              </w:r>
            </w:hyperlink>
            <w:r>
              <w:t xml:space="preserve">)</w:t>
            </w:r>
          </w:p>
        </w:tc>
      </w:tr>
      <w:tr>
        <w:tc>
          <w:tcPr/>
          <w:p>
            <w:pPr>
              <w:pStyle w:val="Compact"/>
              <w:jc w:val="left"/>
            </w:pPr>
            <w:r>
              <w:t xml:space="preserve">Self-service analytics</w:t>
            </w:r>
          </w:p>
        </w:tc>
        <w:tc>
          <w:tcPr/>
          <w:p>
            <w:pPr>
              <w:pStyle w:val="Compact"/>
              <w:jc w:val="left"/>
            </w:pPr>
            <w:r>
              <w:t xml:space="preserve">Widespread; clinical staff access data directly</w:t>
            </w:r>
          </w:p>
        </w:tc>
        <w:tc>
          <w:tcPr/>
          <w:p>
            <w:pPr>
              <w:pStyle w:val="Compact"/>
              <w:jc w:val="left"/>
            </w:pPr>
            <w:r>
              <w:t xml:space="preserve">Partial; BI tools available but underutilized</w:t>
            </w:r>
          </w:p>
        </w:tc>
        <w:tc>
          <w:tcPr/>
          <w:p>
            <w:pPr>
              <w:pStyle w:val="Compact"/>
              <w:jc w:val="left"/>
            </w:pPr>
            <w:r>
              <w:t xml:space="preserve">None; all analytics require IT intervention</w:t>
            </w:r>
          </w:p>
        </w:tc>
        <w:tc>
          <w:tcPr/>
          <w:p>
            <w:pPr>
              <w:pStyle w:val="Compact"/>
              <w:jc w:val="left"/>
            </w:pPr>
            <w:r>
              <w:t xml:space="preserve">(</w:t>
            </w:r>
            <w:hyperlink w:anchor="ref-wang2018">
              <w:r>
                <w:rPr>
                  <w:rStyle w:val="Hyperlink"/>
                </w:rPr>
                <w:t xml:space="preserve">5</w:t>
              </w:r>
            </w:hyperlink>
            <w:r>
              <w:t xml:space="preserve">,</w:t>
            </w:r>
            <w:hyperlink w:anchor="ref-berkshire2024">
              <w:r>
                <w:rPr>
                  <w:rStyle w:val="Hyperlink"/>
                </w:rPr>
                <w:t xml:space="preserve">96</w:t>
              </w:r>
            </w:hyperlink>
            <w:r>
              <w:t xml:space="preserve">)</w:t>
            </w:r>
          </w:p>
        </w:tc>
      </w:tr>
      <w:tr>
        <w:tc>
          <w:tcPr/>
          <w:p>
            <w:pPr>
              <w:pStyle w:val="Compact"/>
              <w:jc w:val="left"/>
            </w:pPr>
            <w:r>
              <w:t xml:space="preserve">AI/NL interface availability</w:t>
            </w:r>
          </w:p>
        </w:tc>
        <w:tc>
          <w:tcPr/>
          <w:p>
            <w:pPr>
              <w:pStyle w:val="Compact"/>
              <w:jc w:val="left"/>
            </w:pPr>
            <w:r>
              <w:t xml:space="preserve">Natural language query capability deployed</w:t>
            </w:r>
          </w:p>
        </w:tc>
        <w:tc>
          <w:tcPr/>
          <w:p>
            <w:pPr>
              <w:pStyle w:val="Compact"/>
              <w:jc w:val="left"/>
            </w:pPr>
            <w:r>
              <w:t xml:space="preserve">Pilot programs or evaluation underway</w:t>
            </w:r>
          </w:p>
        </w:tc>
        <w:tc>
          <w:tcPr/>
          <w:p>
            <w:pPr>
              <w:pStyle w:val="Compact"/>
              <w:jc w:val="left"/>
            </w:pPr>
            <w:r>
              <w:t xml:space="preserve">No NL2SQL or conversational analytics</w:t>
            </w:r>
          </w:p>
        </w:tc>
        <w:tc>
          <w:tcPr/>
          <w:p>
            <w:pPr>
              <w:pStyle w:val="Compact"/>
              <w:jc w:val="left"/>
            </w:pPr>
            <w:r>
              <w:t xml:space="preserve">(</w:t>
            </w:r>
            <w:hyperlink w:anchor="ref-ziletti2024">
              <w:r>
                <w:rPr>
                  <w:rStyle w:val="Hyperlink"/>
                </w:rPr>
                <w:t xml:space="preserve">18</w:t>
              </w:r>
            </w:hyperlink>
            <w:r>
              <w:t xml:space="preserve">,</w:t>
            </w:r>
            <w:hyperlink w:anchor="ref-wang2020">
              <w:r>
                <w:rPr>
                  <w:rStyle w:val="Hyperlink"/>
                </w:rPr>
                <w:t xml:space="preserve">27</w:t>
              </w:r>
            </w:hyperlink>
            <w:r>
              <w:t xml:space="preserve">)</w:t>
            </w:r>
          </w:p>
        </w:tc>
      </w:tr>
    </w:tbl>
    <w:p>
      <w:pPr>
        <w:pStyle w:val="BodyText"/>
      </w:pPr>
      <w:r>
        <w:rPr>
          <w:b/>
          <w:bCs/>
        </w:rPr>
        <w:t xml:space="preserve">Workforce Dynamics Indicators:</w:t>
      </w:r>
    </w:p>
    <w:tbl>
      <w:tblPr>
        <w:tblStyle w:val="Table"/>
        <w:tblW w:type="pct" w:w="5000"/>
        <w:jc w:val="left"/>
        <w:tblLayout w:type="fixed"/>
        <w:tblLook w:firstRow="1" w:lastRow="0" w:firstColumn="0" w:lastColumn="0" w:noHBand="0" w:noVBand="0" w:val="0020"/>
      </w:tblPr>
      <w:tblGrid>
        <w:gridCol w:w="1428"/>
        <w:gridCol w:w="1558"/>
        <w:gridCol w:w="1947"/>
        <w:gridCol w:w="1687"/>
        <w:gridCol w:w="1298"/>
      </w:tblGrid>
      <w:tr>
        <w:trPr>
          <w:tblHeader w:val="on"/>
        </w:trPr>
        <w:tc>
          <w:tcPr/>
          <w:p>
            <w:pPr>
              <w:pStyle w:val="Compact"/>
              <w:jc w:val="left"/>
            </w:pPr>
            <w:r>
              <w:t xml:space="preserve">Indicator</w:t>
            </w:r>
          </w:p>
        </w:tc>
        <w:tc>
          <w:tcPr/>
          <w:p>
            <w:pPr>
              <w:pStyle w:val="Compact"/>
              <w:jc w:val="left"/>
            </w:pPr>
            <w:r>
              <w:t xml:space="preserve">Lower Risk</w:t>
            </w:r>
          </w:p>
        </w:tc>
        <w:tc>
          <w:tcPr/>
          <w:p>
            <w:pPr>
              <w:pStyle w:val="Compact"/>
              <w:jc w:val="left"/>
            </w:pPr>
            <w:r>
              <w:t xml:space="preserve">Moderate Risk</w:t>
            </w:r>
          </w:p>
        </w:tc>
        <w:tc>
          <w:tcPr/>
          <w:p>
            <w:pPr>
              <w:pStyle w:val="Compact"/>
              <w:jc w:val="left"/>
            </w:pPr>
            <w:r>
              <w:t xml:space="preserve">Higher Risk</w:t>
            </w:r>
          </w:p>
        </w:tc>
        <w:tc>
          <w:tcPr/>
          <w:p>
            <w:pPr>
              <w:pStyle w:val="Compact"/>
              <w:jc w:val="left"/>
            </w:pPr>
            <w:r>
              <w:t xml:space="preserve">Evidence</w:t>
            </w:r>
          </w:p>
        </w:tc>
      </w:tr>
      <w:tr>
        <w:tc>
          <w:tcPr/>
          <w:p>
            <w:pPr>
              <w:pStyle w:val="Compact"/>
              <w:jc w:val="left"/>
            </w:pPr>
            <w:r>
              <w:t xml:space="preserve">Annual IT turnover rate</w:t>
            </w:r>
          </w:p>
        </w:tc>
        <w:tc>
          <w:tcPr/>
          <w:p>
            <w:pPr>
              <w:pStyle w:val="Compact"/>
              <w:jc w:val="left"/>
            </w:pPr>
            <w:r>
              <w:t xml:space="preserve">&lt;15%</w:t>
            </w:r>
          </w:p>
        </w:tc>
        <w:tc>
          <w:tcPr/>
          <w:p>
            <w:pPr>
              <w:pStyle w:val="Compact"/>
              <w:jc w:val="left"/>
            </w:pPr>
            <w:r>
              <w:t xml:space="preserve">15-30%</w:t>
            </w:r>
          </w:p>
        </w:tc>
        <w:tc>
          <w:tcPr/>
          <w:p>
            <w:pPr>
              <w:pStyle w:val="Compact"/>
              <w:jc w:val="left"/>
            </w:pPr>
            <w:r>
              <w:t xml:space="preserve">&gt;30% (exceeds 2004 healthcare IT baseline)</w:t>
            </w:r>
          </w:p>
        </w:tc>
        <w:tc>
          <w:tcPr/>
          <w:p>
            <w:pPr>
              <w:pStyle w:val="Compact"/>
              <w:jc w:val="left"/>
            </w:pPr>
            <w:r>
              <w:t xml:space="preserve">(</w:t>
            </w:r>
            <w:hyperlink w:anchor="ref-ang2004">
              <w:r>
                <w:rPr>
                  <w:rStyle w:val="Hyperlink"/>
                </w:rPr>
                <w:t xml:space="preserve">4</w:t>
              </w:r>
            </w:hyperlink>
            <w:r>
              <w:t xml:space="preserve">)</w:t>
            </w:r>
          </w:p>
        </w:tc>
      </w:tr>
      <w:tr>
        <w:tc>
          <w:tcPr/>
          <w:p>
            <w:pPr>
              <w:pStyle w:val="Compact"/>
              <w:jc w:val="left"/>
            </w:pPr>
            <w:r>
              <w:t xml:space="preserve">Knowledge concentration</w:t>
            </w:r>
          </w:p>
        </w:tc>
        <w:tc>
          <w:tcPr/>
          <w:p>
            <w:pPr>
              <w:pStyle w:val="Compact"/>
              <w:jc w:val="left"/>
            </w:pPr>
            <w:r>
              <w:t xml:space="preserve">Distributed expertise; documented processes</w:t>
            </w:r>
          </w:p>
        </w:tc>
        <w:tc>
          <w:tcPr/>
          <w:p>
            <w:pPr>
              <w:pStyle w:val="Compact"/>
              <w:jc w:val="left"/>
            </w:pPr>
            <w:r>
              <w:t xml:space="preserve">Partial documentation; some cross-training</w:t>
            </w:r>
          </w:p>
        </w:tc>
        <w:tc>
          <w:tcPr/>
          <w:p>
            <w:pPr>
              <w:pStyle w:val="Compact"/>
              <w:jc w:val="left"/>
            </w:pPr>
            <w:r>
              <w:t xml:space="preserve">Critical expertise held by ≤3 individuals</w:t>
            </w:r>
          </w:p>
        </w:tc>
        <w:tc>
          <w:tcPr/>
          <w:p>
            <w:pPr>
              <w:pStyle w:val="Compact"/>
              <w:jc w:val="left"/>
            </w:pPr>
            <w:r>
              <w:t xml:space="preserve">(</w:t>
            </w:r>
            <w:hyperlink w:anchor="ref-benbya2004">
              <w:r>
                <w:rPr>
                  <w:rStyle w:val="Hyperlink"/>
                </w:rPr>
                <w:t xml:space="preserve">16</w:t>
              </w:r>
            </w:hyperlink>
            <w:r>
              <w:t xml:space="preserve">,</w:t>
            </w:r>
            <w:hyperlink w:anchor="ref-richesson2007">
              <w:r>
                <w:rPr>
                  <w:rStyle w:val="Hyperlink"/>
                </w:rPr>
                <w:t xml:space="preserve">17</w:t>
              </w:r>
            </w:hyperlink>
            <w:r>
              <w:t xml:space="preserve">)</w:t>
            </w:r>
          </w:p>
        </w:tc>
      </w:tr>
      <w:tr>
        <w:tc>
          <w:tcPr/>
          <w:p>
            <w:pPr>
              <w:pStyle w:val="Compact"/>
              <w:jc w:val="left"/>
            </w:pPr>
            <w:r>
              <w:t xml:space="preserve">Time-to-productivity</w:t>
            </w:r>
          </w:p>
        </w:tc>
        <w:tc>
          <w:tcPr/>
          <w:p>
            <w:pPr>
              <w:pStyle w:val="Compact"/>
              <w:jc w:val="left"/>
            </w:pPr>
            <w:r>
              <w:t xml:space="preserve">&lt;6 months with structured onboarding</w:t>
            </w:r>
          </w:p>
        </w:tc>
        <w:tc>
          <w:tcPr/>
          <w:p>
            <w:pPr>
              <w:pStyle w:val="Compact"/>
              <w:jc w:val="left"/>
            </w:pPr>
            <w:r>
              <w:t xml:space="preserve">6-18 months</w:t>
            </w:r>
          </w:p>
        </w:tc>
        <w:tc>
          <w:tcPr/>
          <w:p>
            <w:pPr>
              <w:pStyle w:val="Compact"/>
              <w:jc w:val="left"/>
            </w:pPr>
            <w:r>
              <w:t xml:space="preserve">&gt;18 months (specialized health informatics roles)</w:t>
            </w:r>
          </w:p>
        </w:tc>
        <w:tc>
          <w:tcPr/>
          <w:p>
            <w:pPr>
              <w:pStyle w:val="Compact"/>
              <w:jc w:val="left"/>
            </w:pPr>
            <w:r>
              <w:t xml:space="preserve">(</w:t>
            </w:r>
            <w:hyperlink w:anchor="ref-ledikwe2013">
              <w:r>
                <w:rPr>
                  <w:rStyle w:val="Hyperlink"/>
                </w:rPr>
                <w:t xml:space="preserve">76</w:t>
              </w:r>
            </w:hyperlink>
            <w:r>
              <w:t xml:space="preserve">–</w:t>
            </w:r>
            <w:hyperlink w:anchor="ref-musa2023">
              <w:r>
                <w:rPr>
                  <w:rStyle w:val="Hyperlink"/>
                </w:rPr>
                <w:t xml:space="preserve">78</w:t>
              </w:r>
            </w:hyperlink>
            <w:r>
              <w:t xml:space="preserve">)</w:t>
            </w:r>
          </w:p>
        </w:tc>
      </w:tr>
      <w:tr>
        <w:tc>
          <w:tcPr/>
          <w:p>
            <w:pPr>
              <w:pStyle w:val="Compact"/>
              <w:jc w:val="left"/>
            </w:pPr>
            <w:r>
              <w:t xml:space="preserve">Tacit knowledge capture</w:t>
            </w:r>
          </w:p>
        </w:tc>
        <w:tc>
          <w:tcPr/>
          <w:p>
            <w:pPr>
              <w:pStyle w:val="Compact"/>
              <w:jc w:val="left"/>
            </w:pPr>
            <w:r>
              <w:t xml:space="preserve">Expertise embedded in systems/AI</w:t>
            </w:r>
          </w:p>
        </w:tc>
        <w:tc>
          <w:tcPr/>
          <w:p>
            <w:pPr>
              <w:pStyle w:val="Compact"/>
              <w:jc w:val="left"/>
            </w:pPr>
            <w:r>
              <w:t xml:space="preserve">Partial documentation exists</w:t>
            </w:r>
          </w:p>
        </w:tc>
        <w:tc>
          <w:tcPr/>
          <w:p>
            <w:pPr>
              <w:pStyle w:val="Compact"/>
              <w:jc w:val="left"/>
            </w:pPr>
            <w:r>
              <w:t xml:space="preserve">Person-dependent; undocumented tribal knowledge</w:t>
            </w:r>
          </w:p>
        </w:tc>
        <w:tc>
          <w:tcPr/>
          <w:p>
            <w:pPr>
              <w:pStyle w:val="Compact"/>
              <w:jc w:val="left"/>
            </w:pPr>
            <w:r>
              <w:t xml:space="preserve">(</w:t>
            </w:r>
            <w:hyperlink w:anchor="ref-benbya2004">
              <w:r>
                <w:rPr>
                  <w:rStyle w:val="Hyperlink"/>
                </w:rPr>
                <w:t xml:space="preserve">16</w:t>
              </w:r>
            </w:hyperlink>
            <w:r>
              <w:t xml:space="preserve">)</w:t>
            </w:r>
          </w:p>
        </w:tc>
      </w:tr>
    </w:tbl>
    <w:p>
      <w:pPr>
        <w:pStyle w:val="BodyText"/>
      </w:pPr>
      <w:r>
        <w:rPr>
          <w:b/>
          <w:bCs/>
        </w:rPr>
        <w:t xml:space="preserve">Technical Barriers Indicators:</w:t>
      </w:r>
    </w:p>
    <w:tbl>
      <w:tblPr>
        <w:tblStyle w:val="Table"/>
        <w:tblW w:type="pct" w:w="5000"/>
        <w:jc w:val="left"/>
        <w:tblLayout w:type="fixed"/>
        <w:tblLook w:firstRow="1" w:lastRow="0" w:firstColumn="0" w:lastColumn="0" w:noHBand="0" w:noVBand="0" w:val="0020"/>
      </w:tblPr>
      <w:tblGrid>
        <w:gridCol w:w="1428"/>
        <w:gridCol w:w="1558"/>
        <w:gridCol w:w="1947"/>
        <w:gridCol w:w="1687"/>
        <w:gridCol w:w="1298"/>
      </w:tblGrid>
      <w:tr>
        <w:trPr>
          <w:tblHeader w:val="on"/>
        </w:trPr>
        <w:tc>
          <w:tcPr/>
          <w:p>
            <w:pPr>
              <w:pStyle w:val="Compact"/>
              <w:jc w:val="left"/>
            </w:pPr>
            <w:r>
              <w:t xml:space="preserve">Indicator</w:t>
            </w:r>
          </w:p>
        </w:tc>
        <w:tc>
          <w:tcPr/>
          <w:p>
            <w:pPr>
              <w:pStyle w:val="Compact"/>
              <w:jc w:val="left"/>
            </w:pPr>
            <w:r>
              <w:t xml:space="preserve">Lower Risk</w:t>
            </w:r>
          </w:p>
        </w:tc>
        <w:tc>
          <w:tcPr/>
          <w:p>
            <w:pPr>
              <w:pStyle w:val="Compact"/>
              <w:jc w:val="left"/>
            </w:pPr>
            <w:r>
              <w:t xml:space="preserve">Moderate Risk</w:t>
            </w:r>
          </w:p>
        </w:tc>
        <w:tc>
          <w:tcPr/>
          <w:p>
            <w:pPr>
              <w:pStyle w:val="Compact"/>
              <w:jc w:val="left"/>
            </w:pPr>
            <w:r>
              <w:t xml:space="preserve">Higher Risk</w:t>
            </w:r>
          </w:p>
        </w:tc>
        <w:tc>
          <w:tcPr/>
          <w:p>
            <w:pPr>
              <w:pStyle w:val="Compact"/>
              <w:jc w:val="left"/>
            </w:pPr>
            <w:r>
              <w:t xml:space="preserve">Evidence</w:t>
            </w:r>
          </w:p>
        </w:tc>
      </w:tr>
      <w:tr>
        <w:tc>
          <w:tcPr/>
          <w:p>
            <w:pPr>
              <w:pStyle w:val="Compact"/>
              <w:jc w:val="left"/>
            </w:pPr>
            <w:r>
              <w:t xml:space="preserve">Data access requirements</w:t>
            </w:r>
          </w:p>
        </w:tc>
        <w:tc>
          <w:tcPr/>
          <w:p>
            <w:pPr>
              <w:pStyle w:val="Compact"/>
              <w:jc w:val="left"/>
            </w:pPr>
            <w:r>
              <w:t xml:space="preserve">Natural language or visual query interfaces</w:t>
            </w:r>
          </w:p>
        </w:tc>
        <w:tc>
          <w:tcPr/>
          <w:p>
            <w:pPr>
              <w:pStyle w:val="Compact"/>
              <w:jc w:val="left"/>
            </w:pPr>
            <w:r>
              <w:t xml:space="preserve">IT queue for complex queries; basic self-service</w:t>
            </w:r>
          </w:p>
        </w:tc>
        <w:tc>
          <w:tcPr/>
          <w:p>
            <w:pPr>
              <w:pStyle w:val="Compact"/>
              <w:jc w:val="left"/>
            </w:pPr>
            <w:r>
              <w:t xml:space="preserve">SQL/technical expertise required for all queries</w:t>
            </w:r>
          </w:p>
        </w:tc>
        <w:tc>
          <w:tcPr/>
          <w:p>
            <w:pPr>
              <w:pStyle w:val="Compact"/>
              <w:jc w:val="left"/>
            </w:pPr>
            <w:r>
              <w:t xml:space="preserve">(</w:t>
            </w:r>
            <w:hyperlink w:anchor="ref-wang2018">
              <w:r>
                <w:rPr>
                  <w:rStyle w:val="Hyperlink"/>
                </w:rPr>
                <w:t xml:space="preserve">5</w:t>
              </w:r>
            </w:hyperlink>
            <w:r>
              <w:t xml:space="preserve">–</w:t>
            </w:r>
            <w:hyperlink w:anchor="ref-pesqueira2020">
              <w:r>
                <w:rPr>
                  <w:rStyle w:val="Hyperlink"/>
                </w:rPr>
                <w:t xml:space="preserve">7</w:t>
              </w:r>
            </w:hyperlink>
            <w:r>
              <w:t xml:space="preserve">)</w:t>
            </w:r>
          </w:p>
        </w:tc>
      </w:tr>
      <w:tr>
        <w:tc>
          <w:tcPr/>
          <w:p>
            <w:pPr>
              <w:pStyle w:val="Compact"/>
              <w:jc w:val="left"/>
            </w:pPr>
            <w:r>
              <w:t xml:space="preserve">Interoperability status</w:t>
            </w:r>
          </w:p>
        </w:tc>
        <w:tc>
          <w:tcPr/>
          <w:p>
            <w:pPr>
              <w:pStyle w:val="Compact"/>
              <w:jc w:val="left"/>
            </w:pPr>
            <w:r>
              <w:t xml:space="preserve">Unified data platform; real-time integration</w:t>
            </w:r>
          </w:p>
        </w:tc>
        <w:tc>
          <w:tcPr/>
          <w:p>
            <w:pPr>
              <w:pStyle w:val="Compact"/>
              <w:jc w:val="left"/>
            </w:pPr>
            <w:r>
              <w:t xml:space="preserve">Partial integration; some automated feeds</w:t>
            </w:r>
          </w:p>
        </w:tc>
        <w:tc>
          <w:tcPr/>
          <w:p>
            <w:pPr>
              <w:pStyle w:val="Compact"/>
              <w:jc w:val="left"/>
            </w:pPr>
            <w:r>
              <w:t xml:space="preserve">Fragmented systems; manual reconciliation required</w:t>
            </w:r>
          </w:p>
        </w:tc>
        <w:tc>
          <w:tcPr/>
          <w:p>
            <w:pPr>
              <w:pStyle w:val="Compact"/>
              <w:jc w:val="left"/>
            </w:pPr>
            <w:r>
              <w:t xml:space="preserve">(</w:t>
            </w:r>
            <w:hyperlink w:anchor="ref-gal2019">
              <w:r>
                <w:rPr>
                  <w:rStyle w:val="Hyperlink"/>
                </w:rPr>
                <w:t xml:space="preserve">108</w:t>
              </w:r>
            </w:hyperlink>
            <w:r>
              <w:t xml:space="preserve">,</w:t>
            </w:r>
            <w:hyperlink w:anchor="ref-bogaert2021">
              <w:r>
                <w:rPr>
                  <w:rStyle w:val="Hyperlink"/>
                </w:rPr>
                <w:t xml:space="preserve">110</w:t>
              </w:r>
            </w:hyperlink>
            <w:r>
              <w:t xml:space="preserve">)</w:t>
            </w:r>
          </w:p>
        </w:tc>
      </w:tr>
      <w:tr>
        <w:tc>
          <w:tcPr/>
          <w:p>
            <w:pPr>
              <w:pStyle w:val="Compact"/>
              <w:jc w:val="left"/>
            </w:pPr>
            <w:r>
              <w:t xml:space="preserve">Skills gap severity</w:t>
            </w:r>
          </w:p>
        </w:tc>
        <w:tc>
          <w:tcPr/>
          <w:p>
            <w:pPr>
              <w:pStyle w:val="Compact"/>
              <w:jc w:val="left"/>
            </w:pPr>
            <w:r>
              <w:t xml:space="preserve">Sufficient analysts across departments</w:t>
            </w:r>
          </w:p>
        </w:tc>
        <w:tc>
          <w:tcPr/>
          <w:p>
            <w:pPr>
              <w:pStyle w:val="Compact"/>
              <w:jc w:val="left"/>
            </w:pPr>
            <w:r>
              <w:t xml:space="preserve">Acknowledged deficit with mitigation plans</w:t>
            </w:r>
          </w:p>
        </w:tc>
        <w:tc>
          <w:tcPr/>
          <w:p>
            <w:pPr>
              <w:pStyle w:val="Compact"/>
              <w:jc w:val="left"/>
            </w:pPr>
            <w:r>
              <w:t xml:space="preserve">Critical shortage preventing data utilization</w:t>
            </w:r>
          </w:p>
        </w:tc>
        <w:tc>
          <w:tcPr/>
          <w:p>
            <w:pPr>
              <w:pStyle w:val="Compact"/>
              <w:jc w:val="left"/>
            </w:pPr>
            <w:r>
              <w:t xml:space="preserve">(</w:t>
            </w:r>
            <w:hyperlink w:anchor="ref-bardsley2016">
              <w:r>
                <w:rPr>
                  <w:rStyle w:val="Hyperlink"/>
                </w:rPr>
                <w:t xml:space="preserve">6</w:t>
              </w:r>
            </w:hyperlink>
            <w:r>
              <w:t xml:space="preserve">,</w:t>
            </w:r>
            <w:hyperlink w:anchor="ref-pesqueira2020">
              <w:r>
                <w:rPr>
                  <w:rStyle w:val="Hyperlink"/>
                </w:rPr>
                <w:t xml:space="preserve">7</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Lower Risk</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r>
        <w:tc>
          <w:tcPr/>
          <w:p>
            <w:pPr>
              <w:pStyle w:val="Compact"/>
              <w:jc w:val="left"/>
            </w:pPr>
            <w:r>
              <w:t xml:space="preserve">1 pillar Higher Risk</w:t>
            </w:r>
          </w:p>
        </w:tc>
        <w:tc>
          <w:tcPr/>
          <w:p>
            <w:pPr>
              <w:pStyle w:val="Compact"/>
              <w:jc w:val="left"/>
            </w:pPr>
            <w:r>
              <w:t xml:space="preserve">Isolated challenge</w:t>
            </w:r>
          </w:p>
        </w:tc>
        <w:tc>
          <w:tcPr/>
          <w:p>
            <w:pPr>
              <w:pStyle w:val="Compact"/>
              <w:jc w:val="left"/>
            </w:pPr>
            <w:r>
              <w:t xml:space="preserve">Single-domain intervention may address root cause; watch for spillover effects</w:t>
            </w:r>
          </w:p>
        </w:tc>
      </w:tr>
      <w:tr>
        <w:tc>
          <w:tcPr/>
          <w:p>
            <w:pPr>
              <w:pStyle w:val="Compact"/>
              <w:jc w:val="left"/>
            </w:pPr>
            <w:r>
              <w:t xml:space="preserve">2 pillars Higher Risk</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All 3 pillars Higher Risk</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bl>
    <w:p>
      <w:pPr>
        <w:pStyle w:val="BodyText"/>
      </w:pPr>
      <w:r>
        <w:t xml:space="preserve">The framework reveals why convergence matters: organizations facing Higher Risk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3"/>
    <w:bookmarkStart w:id="95"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6"/>
        </w:numPr>
      </w:pPr>
      <w:r>
        <w:rPr>
          <w:b/>
          <w:bCs/>
        </w:rPr>
        <w:t xml:space="preserve">Governance Framework Development</w:t>
      </w:r>
      <w:r>
        <w:t xml:space="preserve">: New policies and procedures for democratized analytics</w:t>
      </w:r>
    </w:p>
    <w:p>
      <w:pPr>
        <w:pStyle w:val="Compact"/>
        <w:numPr>
          <w:ilvl w:val="0"/>
          <w:numId w:val="1026"/>
        </w:numPr>
      </w:pPr>
      <w:r>
        <w:rPr>
          <w:b/>
          <w:bCs/>
        </w:rPr>
        <w:t xml:space="preserve">Change Management</w:t>
      </w:r>
      <w:r>
        <w:t xml:space="preserve">: Training and support programs to ensure user adoption</w:t>
      </w:r>
    </w:p>
    <w:p>
      <w:pPr>
        <w:pStyle w:val="Compact"/>
        <w:numPr>
          <w:ilvl w:val="0"/>
          <w:numId w:val="1026"/>
        </w:numPr>
      </w:pPr>
      <w:r>
        <w:rPr>
          <w:b/>
          <w:bCs/>
        </w:rPr>
        <w:t xml:space="preserve">Phased Deployment</w:t>
      </w:r>
      <w:r>
        <w:t xml:space="preserve">: Gradual rollout beginning with analytics-savvy early adopters</w:t>
      </w:r>
    </w:p>
    <w:p>
      <w:pPr>
        <w:pStyle w:val="Compact"/>
        <w:numPr>
          <w:ilvl w:val="0"/>
          <w:numId w:val="1026"/>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18</w:t>
        </w:r>
      </w:hyperlink>
      <w:r>
        <w:t xml:space="preserve">)</w:t>
      </w:r>
    </w:p>
    <w:bookmarkStart w:id="94" w:name="strategic-pilot-selection"/>
    <w:p>
      <w:pPr>
        <w:pStyle w:val="Heading4"/>
      </w:pPr>
      <w:r>
        <w:rPr>
          <w:rStyle w:val="SectionNumber"/>
        </w:rPr>
        <w:t xml:space="preserve">5.5.3.1</w:t>
      </w:r>
      <w:r>
        <w:tab/>
      </w:r>
      <w:r>
        <w:t xml:space="preserve">Strategic Pilot Selection</w:t>
      </w:r>
    </w:p>
    <w:p>
      <w:pPr>
        <w:pStyle w:val="FirstParagraph"/>
      </w:pPr>
      <w:r>
        <w:t xml:space="preserve">To mitigate vendor bias and safety risks, the framework suggests a specific pilot selection strategy. Organizations should prioritize</w:t>
      </w:r>
      <w:r>
        <w:t xml:space="preserve"> </w:t>
      </w:r>
      <w:r>
        <w:rPr>
          <w:b/>
          <w:bCs/>
        </w:rPr>
        <w:t xml:space="preserve">Billing and Revenue Cycle Management</w:t>
      </w:r>
      <w:r>
        <w:t xml:space="preserve"> </w:t>
      </w:r>
      <w:r>
        <w:t xml:space="preserve">for initial pilots rather than clinical domains. This approach offers three advantages:</w:t>
      </w:r>
      <w:r>
        <w:t xml:space="preserve"> </w:t>
      </w:r>
      <w:r>
        <w:t xml:space="preserve">1.</w:t>
      </w:r>
      <w:r>
        <w:t xml:space="preserve"> </w:t>
      </w:r>
      <w:r>
        <w:rPr>
          <w:b/>
          <w:bCs/>
        </w:rPr>
        <w:t xml:space="preserve">Lower Safety Risk</w:t>
      </w:r>
      <w:r>
        <w:t xml:space="preserve">: Errors result in financial adjustments rather than potential patient harm.</w:t>
      </w:r>
      <w:r>
        <w:t xml:space="preserve"> </w:t>
      </w:r>
      <w:r>
        <w:t xml:space="preserve">2.</w:t>
      </w:r>
      <w:r>
        <w:t xml:space="preserve"> </w:t>
      </w:r>
      <w:r>
        <w:rPr>
          <w:b/>
          <w:bCs/>
        </w:rPr>
        <w:t xml:space="preserve">High Standardization</w:t>
      </w:r>
      <w:r>
        <w:t xml:space="preserve">: Billing data relies on standardized ontologies (CPT/ICD codes) that are more structured than free-text clinical notes.</w:t>
      </w:r>
      <w:r>
        <w:t xml:space="preserve"> </w:t>
      </w:r>
      <w:r>
        <w:t xml:space="preserve">3.</w:t>
      </w:r>
      <w:r>
        <w:t xml:space="preserve"> </w:t>
      </w:r>
      <w:r>
        <w:rPr>
          <w:b/>
          <w:bCs/>
        </w:rPr>
        <w:t xml:space="preserve">Clear ROI</w:t>
      </w:r>
      <w:r>
        <w:t xml:space="preserve">: Impacts on days-in-AR or denial rates provide measurable value to leadership, establishing a feedback loop where denials serve as ground-truth labels for model improvement.</w:t>
      </w:r>
    </w:p>
    <w:bookmarkEnd w:id="94"/>
    <w:bookmarkEnd w:id="95"/>
    <w:bookmarkEnd w:id="96"/>
    <w:bookmarkEnd w:id="97"/>
    <w:bookmarkStart w:id="103"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98"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7"/>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7"/>
        </w:numPr>
      </w:pPr>
      <w:r>
        <w:rPr>
          <w:b/>
          <w:bCs/>
        </w:rPr>
        <w:t xml:space="preserve">Workforce turnover</w:t>
      </w:r>
      <w:r>
        <w:t xml:space="preserve"> </w:t>
      </w:r>
      <w:r>
        <w:t xml:space="preserve">(~34% implied annual rate for new healthcare IT staff as of 2004</w:t>
      </w:r>
      <w:r>
        <w:t xml:space="preserve"> </w:t>
      </w:r>
      <w:r>
        <w:t xml:space="preserve">(</w:t>
      </w:r>
      <w:hyperlink w:anchor="ref-ang2004">
        <w:r>
          <w:rPr>
            <w:rStyle w:val="Hyperlink"/>
          </w:rPr>
          <w:t xml:space="preserve">4</w:t>
        </w:r>
      </w:hyperlink>
      <w:r>
        <w:t xml:space="preserve">)</w:t>
      </w:r>
      <w:r>
        <w:t xml:space="preserve">) causes institutional memory loss that further degrades analytics capabilities, creating a reinforcing cycle</w:t>
      </w:r>
    </w:p>
    <w:p>
      <w:pPr>
        <w:pStyle w:val="Compact"/>
        <w:numPr>
          <w:ilvl w:val="0"/>
          <w:numId w:val="1027"/>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98"/>
    <w:bookmarkStart w:id="99"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8"/>
        </w:numPr>
      </w:pPr>
      <w:r>
        <w:rPr>
          <w:b/>
          <w:bCs/>
        </w:rPr>
        <w:t xml:space="preserve">Three-Pillar Analytical Framework</w:t>
      </w:r>
      <w:r>
        <w:t xml:space="preserve"> </w:t>
      </w:r>
      <w:r>
        <w:t xml:space="preserve">(Primary Contribution): The framework synthesizes previously disconnected evidence from healthcare analytics maturity, workforce management, and natural language processing research, revealing how these challenges interconnect and compound each other: low maturity accelerates turnover, turnover degrades maturity, and technical barriers prevent recovery from either.</w:t>
      </w:r>
    </w:p>
    <w:p>
      <w:pPr>
        <w:numPr>
          <w:ilvl w:val="0"/>
          <w:numId w:val="1028"/>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8"/>
        </w:numPr>
      </w:pPr>
      <w:r>
        <w:rPr>
          <w:b/>
          <w:bCs/>
        </w:rPr>
        <w:t xml:space="preserve">Illustrative Application</w:t>
      </w:r>
      <w:r>
        <w:t xml:space="preserve">: By applying established knowledge portal theory</w:t>
      </w:r>
      <w:r>
        <w:t xml:space="preserve"> </w:t>
      </w:r>
      <w:r>
        <w:t xml:space="preserve">(</w:t>
      </w:r>
      <w:hyperlink w:anchor="ref-benbya2004">
        <w:r>
          <w:rPr>
            <w:rStyle w:val="Hyperlink"/>
          </w:rPr>
          <w:t xml:space="preserve">16</w:t>
        </w:r>
      </w:hyperlink>
      <w:r>
        <w:t xml:space="preserve">,</w:t>
      </w:r>
      <w:hyperlink w:anchor="ref-richesson2007">
        <w:r>
          <w:rPr>
            <w:rStyle w:val="Hyperlink"/>
          </w:rPr>
          <w:t xml:space="preserve">17</w:t>
        </w:r>
      </w:hyperlink>
      <w:r>
        <w:t xml:space="preserve">)</w:t>
      </w:r>
      <w:r>
        <w:t xml:space="preserve">, we describe the validated query cycle as one example of how the framework might inform technology design for institutional memory preservation.</w:t>
      </w:r>
    </w:p>
    <w:bookmarkEnd w:id="99"/>
    <w:bookmarkStart w:id="100"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9"/>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27</w:t>
        </w:r>
      </w:hyperlink>
      <w:r>
        <w:t xml:space="preserve">,</w:t>
      </w:r>
      <w:hyperlink w:anchor="ref-lee2023">
        <w:r>
          <w:rPr>
            <w:rStyle w:val="Hyperlink"/>
          </w:rPr>
          <w:t xml:space="preserve">28</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18</w:t>
        </w:r>
      </w:hyperlink>
      <w:r>
        <w:t xml:space="preserve">)</w:t>
      </w:r>
      <w:r>
        <w:t xml:space="preserve">, requiring human oversight.</w:t>
      </w:r>
    </w:p>
    <w:p>
      <w:pPr>
        <w:numPr>
          <w:ilvl w:val="0"/>
          <w:numId w:val="1029"/>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9"/>
        </w:numPr>
      </w:pPr>
      <w:r>
        <w:rPr>
          <w:b/>
          <w:bCs/>
        </w:rPr>
        <w:t xml:space="preserve">Workforce Impact</w:t>
      </w:r>
      <w:r>
        <w:t xml:space="preserve">: Healthcare IT staff new-hire turnover was implied at ~34% in 2004</w:t>
      </w:r>
      <w:r>
        <w:t xml:space="preserve"> </w:t>
      </w:r>
      <w:r>
        <w:t xml:space="preserve">(</w:t>
      </w:r>
      <w:hyperlink w:anchor="ref-ang2004">
        <w:r>
          <w:rPr>
            <w:rStyle w:val="Hyperlink"/>
          </w:rPr>
          <w:t xml:space="preserve">4</w:t>
        </w:r>
      </w:hyperlink>
      <w:r>
        <w:t xml:space="preserve">)</w:t>
      </w:r>
      <w:r>
        <w:t xml:space="preserve">, the highest instability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71</w:t>
        </w:r>
      </w:hyperlink>
      <w:r>
        <w:t xml:space="preserve">)</w:t>
      </w:r>
      <w:r>
        <w:t xml:space="preserve">, creating need for knowledge preservation approaches.</w:t>
      </w:r>
    </w:p>
    <w:p>
      <w:pPr>
        <w:numPr>
          <w:ilvl w:val="0"/>
          <w:numId w:val="1029"/>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96</w:t>
        </w:r>
      </w:hyperlink>
      <w:r>
        <w:t xml:space="preserve">)</w:t>
      </w:r>
      <w:r>
        <w:t xml:space="preserve"> </w:t>
      </w:r>
      <w:r>
        <w:t xml:space="preserve">demonstrate that low-code platforms can enable over 1,600 citizen developers in healthcare settings, with academic research documenting significant efficiency improvements and cost reductions</w:t>
      </w:r>
      <w:r>
        <w:t xml:space="preserve"> </w:t>
      </w:r>
      <w:r>
        <w:t xml:space="preserve">(</w:t>
      </w:r>
      <w:hyperlink w:anchor="ref-sezgin2022">
        <w:r>
          <w:rPr>
            <w:rStyle w:val="Hyperlink"/>
          </w:rPr>
          <w:t xml:space="preserve">93</w:t>
        </w:r>
      </w:hyperlink>
      <w:r>
        <w:t xml:space="preserve">,</w:t>
      </w:r>
      <w:hyperlink w:anchor="ref-jiao2023">
        <w:r>
          <w:rPr>
            <w:rStyle w:val="Hyperlink"/>
          </w:rPr>
          <w:t xml:space="preserve">94</w:t>
        </w:r>
      </w:hyperlink>
      <w:r>
        <w:t xml:space="preserve">)</w:t>
      </w:r>
      <w:r>
        <w:t xml:space="preserve">.</w:t>
      </w:r>
    </w:p>
    <w:bookmarkEnd w:id="100"/>
    <w:bookmarkStart w:id="101"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30"/>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30"/>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18</w:t>
        </w:r>
      </w:hyperlink>
      <w:r>
        <w:t xml:space="preserve">)</w:t>
      </w:r>
      <w:r>
        <w:t xml:space="preserve">), governance requirements, and implementation complexity</w:t>
      </w:r>
    </w:p>
    <w:p>
      <w:pPr>
        <w:numPr>
          <w:ilvl w:val="0"/>
          <w:numId w:val="1030"/>
        </w:numPr>
      </w:pPr>
      <w:r>
        <w:rPr>
          <w:b/>
          <w:bCs/>
        </w:rPr>
        <w:t xml:space="preserve">Apply the three-pillar framework</w:t>
      </w:r>
      <w:r>
        <w:t xml:space="preserve">: Use the analytics maturity, workforce turnover, and technical barrier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101"/>
    <w:bookmarkStart w:id="102"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102"/>
    <w:bookmarkEnd w:id="103"/>
    <w:bookmarkStart w:id="104"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Claude Code (Claude Opus 4.5, Anthropic) assisted with manuscript editing and refinement.</w:t>
      </w:r>
    </w:p>
    <w:bookmarkEnd w:id="104"/>
    <w:bookmarkStart w:id="105"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5"/>
    <w:bookmarkStart w:id="106"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6"/>
    <w:bookmarkStart w:id="107"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7"/>
    <w:bookmarkStart w:id="108"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08"/>
    <w:bookmarkStart w:id="109"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09"/>
    <w:bookmarkStart w:id="110"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10"/>
    <w:bookmarkStart w:id="335" w:name="appendices"/>
    <w:p>
      <w:pPr>
        <w:pStyle w:val="Heading1"/>
      </w:pPr>
      <w:r>
        <w:rPr>
          <w:rStyle w:val="SectionNumber"/>
        </w:rPr>
        <w:t xml:space="preserve">14</w:t>
      </w:r>
      <w:r>
        <w:tab/>
      </w:r>
      <w:r>
        <w:t xml:space="preserve">Appendices</w:t>
      </w:r>
    </w:p>
    <w:bookmarkStart w:id="111" w:name="appendix-a-healthcare-analytics-glossary"/>
    <w:p>
      <w:pPr>
        <w:pStyle w:val="Heading2"/>
      </w:pPr>
      <w:r>
        <w:rPr>
          <w:rStyle w:val="SectionNumber"/>
        </w:rPr>
        <w:t xml:space="preserve">14.1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111"/>
    <w:bookmarkStart w:id="112" w:name="Xda282ad3909d53d8ac6252a99a3daf0ffe2dfbb"/>
    <w:p>
      <w:pPr>
        <w:pStyle w:val="Heading2"/>
      </w:pPr>
      <w:r>
        <w:rPr>
          <w:rStyle w:val="SectionNumber"/>
        </w:rPr>
        <w:t xml:space="preserve">14.2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112"/>
    <w:bookmarkStart w:id="334" w:name="Xbfd30549e6247e2f3e5132a039875af0e2849bb"/>
    <w:p>
      <w:pPr>
        <w:pStyle w:val="Heading2"/>
      </w:pPr>
      <w:r>
        <w:rPr>
          <w:rStyle w:val="SectionNumber"/>
        </w:rPr>
        <w:t xml:space="preserve">14.3</w:t>
      </w:r>
      <w:r>
        <w:tab/>
      </w:r>
      <w:r>
        <w:t xml:space="preserve">Appendix C: Healthcare NL2SQL Query Examples</w:t>
      </w:r>
    </w:p>
    <w:bookmarkStart w:id="113" w:name="patient-population-analysis"/>
    <w:p>
      <w:pPr>
        <w:pStyle w:val="Heading3"/>
      </w:pPr>
      <w:r>
        <w:rPr>
          <w:rStyle w:val="SectionNumber"/>
        </w:rPr>
        <w:t xml:space="preserve">14.3.1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113"/>
    <w:bookmarkStart w:id="114" w:name="operational-metrics"/>
    <w:p>
      <w:pPr>
        <w:pStyle w:val="Heading3"/>
      </w:pPr>
      <w:r>
        <w:rPr>
          <w:rStyle w:val="SectionNumber"/>
        </w:rPr>
        <w:t xml:space="preserve">14.3.2</w:t>
      </w:r>
      <w:r>
        <w:tab/>
      </w:r>
      <w:r>
        <w:t xml:space="preserve">Operational Metrics</w:t>
      </w:r>
    </w:p>
    <w:p>
      <w:pPr>
        <w:pStyle w:val="FirstParagraph"/>
      </w:pPr>
      <w:r>
        <w:rPr>
          <w:b/>
          <w:bCs/>
        </w:rPr>
        <w:t xml:space="preserve">Natural Language</w:t>
      </w:r>
      <w:r>
        <w:t xml:space="preserve">:</w:t>
      </w:r>
      <w:r>
        <w:t xml:space="preserve"> </w:t>
      </w:r>
      <w:r>
        <w:t xml:space="preserve">“</w:t>
      </w:r>
      <w:r>
        <w:t xml:space="preserve">What is the average length of stay for cardiac surgery patients this year?</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AVG</w:t>
      </w:r>
      <w:r>
        <w:rPr>
          <w:rStyle w:val="NormalTok"/>
        </w:rPr>
        <w:t xml:space="preserve">(DATEDIFF(discharge_date, admission_date)) </w:t>
      </w:r>
      <w:r>
        <w:rPr>
          <w:rStyle w:val="KeywordTok"/>
        </w:rPr>
        <w:t xml:space="preserve">as</w:t>
      </w:r>
      <w:r>
        <w:rPr>
          <w:rStyle w:val="NormalTok"/>
        </w:rPr>
        <w:t xml:space="preserve"> avg_los</w:t>
      </w:r>
      <w:r>
        <w:br/>
      </w:r>
      <w:r>
        <w:rPr>
          <w:rStyle w:val="KeywordTok"/>
        </w:rPr>
        <w:t xml:space="preserve">FROM</w:t>
      </w:r>
      <w:r>
        <w:rPr>
          <w:rStyle w:val="NormalTok"/>
        </w:rPr>
        <w:t xml:space="preserve"> admissions a</w:t>
      </w:r>
      <w:r>
        <w:br/>
      </w:r>
      <w:r>
        <w:rPr>
          <w:rStyle w:val="KeywordTok"/>
        </w:rPr>
        <w:t xml:space="preserve">JOIN</w:t>
      </w:r>
      <w:r>
        <w:rPr>
          <w:rStyle w:val="NormalTok"/>
        </w:rPr>
        <w:t xml:space="preserve"> procedures p </w:t>
      </w:r>
      <w:r>
        <w:rPr>
          <w:rStyle w:val="KeywordTok"/>
        </w:rPr>
        <w:t xml:space="preserve">ON</w:t>
      </w:r>
      <w:r>
        <w:rPr>
          <w:rStyle w:val="NormalTok"/>
        </w:rPr>
        <w:t xml:space="preserve"> a.admission_id </w:t>
      </w:r>
      <w:r>
        <w:rPr>
          <w:rStyle w:val="OperatorTok"/>
        </w:rPr>
        <w:t xml:space="preserve">=</w:t>
      </w:r>
      <w:r>
        <w:rPr>
          <w:rStyle w:val="NormalTok"/>
        </w:rPr>
        <w:t xml:space="preserve"> p.admission_id</w:t>
      </w:r>
      <w:r>
        <w:br/>
      </w:r>
      <w:r>
        <w:rPr>
          <w:rStyle w:val="KeywordTok"/>
        </w:rPr>
        <w:t xml:space="preserve">WHERE</w:t>
      </w:r>
      <w:r>
        <w:rPr>
          <w:rStyle w:val="NormalTok"/>
        </w:rPr>
        <w:t xml:space="preserve"> p.cpt_code </w:t>
      </w:r>
      <w:r>
        <w:rPr>
          <w:rStyle w:val="KeywordTok"/>
        </w:rPr>
        <w:t xml:space="preserve">IN</w:t>
      </w:r>
      <w:r>
        <w:rPr>
          <w:rStyle w:val="NormalTok"/>
        </w:rPr>
        <w:t xml:space="preserve"> (</w:t>
      </w:r>
      <w:r>
        <w:rPr>
          <w:rStyle w:val="StringTok"/>
        </w:rPr>
        <w:t xml:space="preserve">'33510'</w:t>
      </w:r>
      <w:r>
        <w:rPr>
          <w:rStyle w:val="NormalTok"/>
        </w:rPr>
        <w:t xml:space="preserve">, </w:t>
      </w:r>
      <w:r>
        <w:rPr>
          <w:rStyle w:val="StringTok"/>
        </w:rPr>
        <w:t xml:space="preserve">'33511'</w:t>
      </w:r>
      <w:r>
        <w:rPr>
          <w:rStyle w:val="NormalTok"/>
        </w:rPr>
        <w:t xml:space="preserve">, </w:t>
      </w:r>
      <w:r>
        <w:rPr>
          <w:rStyle w:val="StringTok"/>
        </w:rPr>
        <w:t xml:space="preserve">'33512'</w:t>
      </w:r>
      <w:r>
        <w:rPr>
          <w:rStyle w:val="NormalTok"/>
        </w:rPr>
        <w:t xml:space="preserve">)  </w:t>
      </w:r>
      <w:r>
        <w:rPr>
          <w:rStyle w:val="CommentTok"/>
        </w:rPr>
        <w:t xml:space="preserve">-- Cardiac surgery codes</w:t>
      </w:r>
      <w:r>
        <w:br/>
      </w:r>
      <w:r>
        <w:rPr>
          <w:rStyle w:val="NormalTok"/>
        </w:rPr>
        <w:t xml:space="preserve">  </w:t>
      </w:r>
      <w:r>
        <w:rPr>
          <w:rStyle w:val="KeywordTok"/>
        </w:rPr>
        <w:t xml:space="preserve">AND</w:t>
      </w:r>
      <w:r>
        <w:rPr>
          <w:rStyle w:val="NormalTok"/>
        </w:rPr>
        <w:t xml:space="preserve"> a.admission_date </w:t>
      </w:r>
      <w:r>
        <w:rPr>
          <w:rStyle w:val="OperatorTok"/>
        </w:rPr>
        <w:t xml:space="preserve">&gt;=</w:t>
      </w:r>
      <w:r>
        <w:rPr>
          <w:rStyle w:val="NormalTok"/>
        </w:rPr>
        <w:t xml:space="preserve"> </w:t>
      </w:r>
      <w:r>
        <w:rPr>
          <w:rStyle w:val="StringTok"/>
        </w:rPr>
        <w:t xml:space="preserve">'2025-01-01'</w:t>
      </w:r>
      <w:r>
        <w:br/>
      </w:r>
      <w:r>
        <w:rPr>
          <w:rStyle w:val="NormalTok"/>
        </w:rPr>
        <w:t xml:space="preserve">  </w:t>
      </w:r>
      <w:r>
        <w:rPr>
          <w:rStyle w:val="KeywordTok"/>
        </w:rPr>
        <w:t xml:space="preserve">AND</w:t>
      </w:r>
      <w:r>
        <w:rPr>
          <w:rStyle w:val="NormalTok"/>
        </w:rPr>
        <w:t xml:space="preserve"> a.discharge_date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p>
    <w:bookmarkEnd w:id="114"/>
    <w:bookmarkStart w:id="333" w:name="quality-metrics"/>
    <w:p>
      <w:pPr>
        <w:pStyle w:val="Heading3"/>
      </w:pPr>
      <w:r>
        <w:rPr>
          <w:rStyle w:val="SectionNumber"/>
        </w:rPr>
        <w:t xml:space="preserve">14.3.3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Start w:id="332" w:name="refs"/>
    <w:bookmarkStart w:id="116"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5">
        <w:r>
          <w:rPr>
            <w:rStyle w:val="Hyperlink"/>
          </w:rPr>
          <w:t xml:space="preserve">https://www.ahima.org/news-publications/press-room-press-releases/2023-press-releases/health-information-workforce-shortages-persist-as-ai-shows-promise-ahima-survey-reveals/</w:t>
        </w:r>
      </w:hyperlink>
    </w:p>
    <w:bookmarkEnd w:id="116"/>
    <w:bookmarkStart w:id="118"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7">
        <w:r>
          <w:rPr>
            <w:rStyle w:val="Hyperlink"/>
          </w:rPr>
          <w:t xml:space="preserve">https://www.himss.org/maturity-models/amam/</w:t>
        </w:r>
      </w:hyperlink>
    </w:p>
    <w:bookmarkEnd w:id="118"/>
    <w:bookmarkStart w:id="120"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Healthcare IT News [Internet]. 2024; Available from:</w:t>
      </w:r>
      <w:r>
        <w:t xml:space="preserve"> </w:t>
      </w:r>
      <w:hyperlink r:id="rId119">
        <w:r>
          <w:rPr>
            <w:rStyle w:val="Hyperlink"/>
          </w:rPr>
          <w:t xml:space="preserve">https://www.healthcareitnews.com/news/asia/himss-launches-modernised-analytics-maturity-assessment-model</w:t>
        </w:r>
      </w:hyperlink>
    </w:p>
    <w:bookmarkEnd w:id="120"/>
    <w:bookmarkStart w:id="122" w:name="ref-ang2004"/>
    <w:p>
      <w:pPr>
        <w:pStyle w:val="Bibliography"/>
      </w:pPr>
      <w:r>
        <w:t xml:space="preserve">4.</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1">
        <w:r>
          <w:rPr>
            <w:rStyle w:val="Hyperlink"/>
          </w:rPr>
          <w:t xml:space="preserve">https://dl.acm.org/doi/10.1145/1017114.1017118</w:t>
        </w:r>
      </w:hyperlink>
    </w:p>
    <w:bookmarkEnd w:id="122"/>
    <w:bookmarkStart w:id="124" w:name="ref-wang2018"/>
    <w:p>
      <w:pPr>
        <w:pStyle w:val="Bibliography"/>
      </w:pPr>
      <w:r>
        <w:t xml:space="preserve">5.</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23">
        <w:r>
          <w:rPr>
            <w:rStyle w:val="Hyperlink"/>
          </w:rPr>
          <w:t xml:space="preserve">https://www.sciencedirect.com/science/article/pii/S0040162515003692</w:t>
        </w:r>
      </w:hyperlink>
    </w:p>
    <w:bookmarkEnd w:id="124"/>
    <w:bookmarkStart w:id="126" w:name="ref-bardsley2016"/>
    <w:p>
      <w:pPr>
        <w:pStyle w:val="Bibliography"/>
      </w:pPr>
      <w:r>
        <w:t xml:space="preserve">6.</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125">
        <w:r>
          <w:rPr>
            <w:rStyle w:val="Hyperlink"/>
          </w:rPr>
          <w:t xml:space="preserve">https://www.health.org.uk/publications/understanding-analytical-capability-in-health-care</w:t>
        </w:r>
      </w:hyperlink>
    </w:p>
    <w:bookmarkEnd w:id="126"/>
    <w:bookmarkStart w:id="128" w:name="ref-pesqueira2020"/>
    <w:p>
      <w:pPr>
        <w:pStyle w:val="Bibliography"/>
      </w:pPr>
      <w:r>
        <w:t xml:space="preserve">7.</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127">
        <w:r>
          <w:rPr>
            <w:rStyle w:val="Hyperlink"/>
          </w:rPr>
          <w:t xml:space="preserve">https://link.springer.com/article/10.1007/s10916-020-01665-9</w:t>
        </w:r>
      </w:hyperlink>
    </w:p>
    <w:bookmarkEnd w:id="128"/>
    <w:bookmarkStart w:id="130" w:name="ref-anthropic2025"/>
    <w:p>
      <w:pPr>
        <w:pStyle w:val="Bibliography"/>
      </w:pPr>
      <w:r>
        <w:t xml:space="preserve">8.</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29">
        <w:r>
          <w:rPr>
            <w:rStyle w:val="Hyperlink"/>
          </w:rPr>
          <w:t xml:space="preserve">https://resources.anthropic.com/code-modernization-playbook</w:t>
        </w:r>
      </w:hyperlink>
    </w:p>
    <w:bookmarkEnd w:id="130"/>
    <w:bookmarkStart w:id="132" w:name="ref-hendrix1978"/>
    <w:p>
      <w:pPr>
        <w:pStyle w:val="Bibliography"/>
      </w:pPr>
      <w:r>
        <w:t xml:space="preserve">9.</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1">
        <w:r>
          <w:rPr>
            <w:rStyle w:val="Hyperlink"/>
          </w:rPr>
          <w:t xml:space="preserve">https://dl.acm.org/doi/abs/10.1145/320251.320253</w:t>
        </w:r>
      </w:hyperlink>
    </w:p>
    <w:bookmarkEnd w:id="132"/>
    <w:bookmarkStart w:id="134" w:name="ref-ogunwole2023"/>
    <w:p>
      <w:pPr>
        <w:pStyle w:val="Bibliography"/>
      </w:pPr>
      <w:r>
        <w:t xml:space="preserve">10.</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3">
        <w:r>
          <w:rPr>
            <w:rStyle w:val="Hyperlink"/>
          </w:rPr>
          <w:t xml:space="preserve">https://www.allmultidisciplinaryjournal.com/uploads/archives/20250306182550_MGE-2025-2-018.1.pdf</w:t>
        </w:r>
      </w:hyperlink>
    </w:p>
    <w:bookmarkEnd w:id="134"/>
    <w:bookmarkStart w:id="136" w:name="ref-arora2025"/>
    <w:p>
      <w:pPr>
        <w:pStyle w:val="Bibliography"/>
      </w:pPr>
      <w:r>
        <w:t xml:space="preserve">11.</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35">
        <w:r>
          <w:rPr>
            <w:rStyle w:val="Hyperlink"/>
          </w:rPr>
          <w:t xml:space="preserve">https://papers.ssrn.com/sol3/papers.cfm?abstract_id=5268176</w:t>
        </w:r>
      </w:hyperlink>
    </w:p>
    <w:bookmarkEnd w:id="136"/>
    <w:bookmarkStart w:id="138" w:name="ref-shen2023"/>
    <w:p>
      <w:pPr>
        <w:pStyle w:val="Bibliography"/>
      </w:pPr>
      <w:r>
        <w:t xml:space="preserve">12.</w:t>
      </w:r>
      <w:r>
        <w:t xml:space="preserve"> </w:t>
      </w:r>
      <w:r>
        <w:t xml:space="preserve">	</w:t>
      </w:r>
      <w:r>
        <w:t xml:space="preserve">Shen M K., Gandhi AD.</w:t>
      </w:r>
      <w:r>
        <w:t xml:space="preserve"> </w:t>
      </w:r>
      <w:r>
        <w:t xml:space="preserve">Health care staff turnover and quality of care at nursing homes</w:t>
      </w:r>
      <w:r>
        <w:t xml:space="preserve">.</w:t>
      </w:r>
      <w:r>
        <w:t xml:space="preserve"> </w:t>
      </w:r>
      <w:r>
        <w:t xml:space="preserve">JAMA</w:t>
      </w:r>
      <w:r>
        <w:t xml:space="preserve"> </w:t>
      </w:r>
      <w:r>
        <w:t xml:space="preserve">Internal Medicine [Internet]. 2023;183(10):1088–95. Available from:</w:t>
      </w:r>
      <w:r>
        <w:t xml:space="preserve"> </w:t>
      </w:r>
      <w:hyperlink r:id="rId137">
        <w:r>
          <w:rPr>
            <w:rStyle w:val="Hyperlink"/>
          </w:rPr>
          <w:t xml:space="preserve">https://jamanetwork.com/journals/jamainternalmedicine/fullarticle/2809588</w:t>
        </w:r>
      </w:hyperlink>
    </w:p>
    <w:bookmarkEnd w:id="138"/>
    <w:bookmarkStart w:id="140" w:name="ref-latrella2024"/>
    <w:p>
      <w:pPr>
        <w:pStyle w:val="Bibliography"/>
      </w:pPr>
      <w:r>
        <w:t xml:space="preserve">13.</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39">
        <w:r>
          <w:rPr>
            <w:rStyle w:val="Hyperlink"/>
          </w:rPr>
          <w:t xml:space="preserve">https://www.ingentaconnect.com/content/hsp/mih/2024/00000008/00000004/art00006</w:t>
        </w:r>
      </w:hyperlink>
    </w:p>
    <w:bookmarkEnd w:id="140"/>
    <w:bookmarkStart w:id="142" w:name="ref-khan2023"/>
    <w:p>
      <w:pPr>
        <w:pStyle w:val="Bibliography"/>
      </w:pPr>
      <w:r>
        <w:t xml:space="preserve">14.</w:t>
      </w:r>
      <w:r>
        <w:t xml:space="preserve"> </w:t>
      </w:r>
      <w:r>
        <w:t xml:space="preserve">	</w:t>
      </w:r>
      <w:r>
        <w:t xml:space="preserve">Khan S S.</w:t>
      </w:r>
      <w:r>
        <w:t xml:space="preserve"> </w:t>
      </w:r>
      <w:r>
        <w:t xml:space="preserve">Advanced business analytics in healthcare: Enhancing clinical decision support and operational efficiency</w:t>
      </w:r>
      <w:r>
        <w:t xml:space="preserve">. Business and Economics [Internet]. 2023; Available from:</w:t>
      </w:r>
      <w:r>
        <w:t xml:space="preserve"> </w:t>
      </w:r>
      <w:hyperlink r:id="rId141">
        <w:r>
          <w:rPr>
            <w:rStyle w:val="Hyperlink"/>
          </w:rPr>
          <w:t xml:space="preserve">https://publishing.emanresearch.org/index.php/bej/article/view/1136</w:t>
        </w:r>
      </w:hyperlink>
    </w:p>
    <w:bookmarkEnd w:id="142"/>
    <w:bookmarkStart w:id="144" w:name="ref-lin2012"/>
    <w:p>
      <w:pPr>
        <w:pStyle w:val="Bibliography"/>
      </w:pPr>
      <w:r>
        <w:t xml:space="preserve">15.</w:t>
      </w:r>
      <w:r>
        <w:t xml:space="preserve"> </w:t>
      </w:r>
      <w:r>
        <w:t xml:space="preserve">	</w:t>
      </w:r>
      <w:r>
        <w:t xml:space="preserve">Lin L C.</w:t>
      </w:r>
      <w:r>
        <w:t xml:space="preserve"> </w:t>
      </w:r>
      <w:r>
        <w:t xml:space="preserve">Barriers to physicians’ adoption of healthcare information technology: An empirical study on multiple hospitals</w:t>
      </w:r>
      <w:r>
        <w:t xml:space="preserve">. Journal of Medical Systems [Internet]. 2012; Available from:</w:t>
      </w:r>
      <w:r>
        <w:t xml:space="preserve"> </w:t>
      </w:r>
      <w:hyperlink r:id="rId143">
        <w:r>
          <w:rPr>
            <w:rStyle w:val="Hyperlink"/>
          </w:rPr>
          <w:t xml:space="preserve">https://link.springer.com/article/10.1007/s10916-011-9656-7</w:t>
        </w:r>
      </w:hyperlink>
    </w:p>
    <w:bookmarkEnd w:id="144"/>
    <w:bookmarkStart w:id="146" w:name="ref-benbya2004"/>
    <w:p>
      <w:pPr>
        <w:pStyle w:val="Bibliography"/>
      </w:pPr>
      <w:r>
        <w:t xml:space="preserve">16.</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45">
        <w:r>
          <w:rPr>
            <w:rStyle w:val="Hyperlink"/>
          </w:rPr>
          <w:t xml:space="preserve">https://doi.org/10.1016/j.ijinfomgt.2003.12.012</w:t>
        </w:r>
      </w:hyperlink>
    </w:p>
    <w:bookmarkEnd w:id="146"/>
    <w:bookmarkStart w:id="148" w:name="ref-richesson2007"/>
    <w:p>
      <w:pPr>
        <w:pStyle w:val="Bibliography"/>
      </w:pPr>
      <w:r>
        <w:t xml:space="preserve">17.</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147">
        <w:r>
          <w:rPr>
            <w:rStyle w:val="Hyperlink"/>
          </w:rPr>
          <w:t xml:space="preserve">https://academic.oup.com/jamia/article/14/6/687/750453</w:t>
        </w:r>
      </w:hyperlink>
    </w:p>
    <w:bookmarkEnd w:id="148"/>
    <w:bookmarkStart w:id="150" w:name="ref-ziletti2024"/>
    <w:p>
      <w:pPr>
        <w:pStyle w:val="Bibliography"/>
      </w:pPr>
      <w:r>
        <w:t xml:space="preserve">18.</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49">
        <w:r>
          <w:rPr>
            <w:rStyle w:val="Hyperlink"/>
          </w:rPr>
          <w:t xml:space="preserve">https://arxiv.org/abs/2403.09226</w:t>
        </w:r>
      </w:hyperlink>
    </w:p>
    <w:bookmarkEnd w:id="150"/>
    <w:bookmarkStart w:id="152" w:name="ref-tyndall2010"/>
    <w:p>
      <w:pPr>
        <w:pStyle w:val="Bibliography"/>
      </w:pPr>
      <w:r>
        <w:t xml:space="preserve">19.</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51">
        <w:r>
          <w:rPr>
            <w:rStyle w:val="Hyperlink"/>
          </w:rPr>
          <w:t xml:space="preserve">https://dspace.flinders.edu.au/jspui/bitstream/2328/3326/4/AACODS_Checklist.pdf</w:t>
        </w:r>
      </w:hyperlink>
    </w:p>
    <w:bookmarkEnd w:id="152"/>
    <w:bookmarkStart w:id="154" w:name="ref-rajamani2025"/>
    <w:p>
      <w:pPr>
        <w:pStyle w:val="Bibliography"/>
      </w:pPr>
      <w:r>
        <w:t xml:space="preserve">20.</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53">
        <w:r>
          <w:rPr>
            <w:rStyle w:val="Hyperlink"/>
          </w:rPr>
          <w:t xml:space="preserve">https://academic.oup.com/jpubhealth</w:t>
        </w:r>
      </w:hyperlink>
    </w:p>
    <w:bookmarkEnd w:id="154"/>
    <w:bookmarkStart w:id="156" w:name="ref-wang2025"/>
    <w:p>
      <w:pPr>
        <w:pStyle w:val="Bibliography"/>
      </w:pPr>
      <w:r>
        <w:t xml:space="preserve">21.</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155">
        <w:r>
          <w:rPr>
            <w:rStyle w:val="Hyperlink"/>
          </w:rPr>
          <w:t xml:space="preserve">https://arxiv.org/abs/2508.08224</w:t>
        </w:r>
      </w:hyperlink>
    </w:p>
    <w:bookmarkEnd w:id="156"/>
    <w:bookmarkStart w:id="158" w:name="ref-openai2025"/>
    <w:p>
      <w:pPr>
        <w:pStyle w:val="Bibliography"/>
      </w:pPr>
      <w:r>
        <w:t xml:space="preserve">22.</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157">
        <w:r>
          <w:rPr>
            <w:rStyle w:val="Hyperlink"/>
          </w:rPr>
          <w:t xml:space="preserve">https://arxiv.org/abs/2505.08775</w:t>
        </w:r>
      </w:hyperlink>
    </w:p>
    <w:bookmarkEnd w:id="158"/>
    <w:bookmarkStart w:id="160" w:name="ref-medagentbench2024"/>
    <w:p>
      <w:pPr>
        <w:pStyle w:val="Bibliography"/>
      </w:pPr>
      <w:r>
        <w:t xml:space="preserve">23.</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159">
        <w:r>
          <w:rPr>
            <w:rStyle w:val="Hyperlink"/>
          </w:rPr>
          <w:t xml:space="preserve">https://ai.nejm.org/doi/full/10.1056/AIdbp2500144</w:t>
        </w:r>
      </w:hyperlink>
    </w:p>
    <w:bookmarkEnd w:id="160"/>
    <w:bookmarkStart w:id="162" w:name="ref-wu2024a"/>
    <w:p>
      <w:pPr>
        <w:pStyle w:val="Bibliography"/>
      </w:pPr>
      <w:r>
        <w:t xml:space="preserve">24.</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161">
        <w:r>
          <w:rPr>
            <w:rStyle w:val="Hyperlink"/>
          </w:rPr>
          <w:t xml:space="preserve">https://www.nature.com/articles/s41746-024-01390-4</w:t>
        </w:r>
      </w:hyperlink>
    </w:p>
    <w:bookmarkEnd w:id="162"/>
    <w:bookmarkStart w:id="164" w:name="ref-blaskovic2025"/>
    <w:p>
      <w:pPr>
        <w:pStyle w:val="Bibliography"/>
      </w:pPr>
      <w:r>
        <w:t xml:space="preserve">25.</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163">
        <w:r>
          <w:rPr>
            <w:rStyle w:val="Hyperlink"/>
          </w:rPr>
          <w:t xml:space="preserve">https://www.mdpi.com/2504-2289/9/10/256</w:t>
        </w:r>
      </w:hyperlink>
    </w:p>
    <w:bookmarkEnd w:id="164"/>
    <w:bookmarkStart w:id="166" w:name="ref-navarro2023"/>
    <w:p>
      <w:pPr>
        <w:pStyle w:val="Bibliography"/>
      </w:pPr>
      <w:r>
        <w:t xml:space="preserve">26.</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165">
        <w:r>
          <w:rPr>
            <w:rStyle w:val="Hyperlink"/>
          </w:rPr>
          <w:t xml:space="preserve">https://www.sciencedirect.com/science/article/pii/S1386505623001405</w:t>
        </w:r>
      </w:hyperlink>
    </w:p>
    <w:bookmarkEnd w:id="166"/>
    <w:bookmarkStart w:id="168" w:name="ref-wang2020"/>
    <w:p>
      <w:pPr>
        <w:pStyle w:val="Bibliography"/>
      </w:pPr>
      <w:r>
        <w:t xml:space="preserve">27.</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167">
        <w:r>
          <w:rPr>
            <w:rStyle w:val="Hyperlink"/>
          </w:rPr>
          <w:t xml:space="preserve">https://arxiv.org/abs/1908.01839</w:t>
        </w:r>
      </w:hyperlink>
    </w:p>
    <w:bookmarkEnd w:id="168"/>
    <w:bookmarkStart w:id="170" w:name="ref-lee2023"/>
    <w:p>
      <w:pPr>
        <w:pStyle w:val="Bibliography"/>
      </w:pPr>
      <w:r>
        <w:t xml:space="preserve">28.</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169">
        <w:r>
          <w:rPr>
            <w:rStyle w:val="Hyperlink"/>
          </w:rPr>
          <w:t xml:space="preserve">https://arxiv.org/abs/2301.07695</w:t>
        </w:r>
      </w:hyperlink>
    </w:p>
    <w:bookmarkEnd w:id="170"/>
    <w:bookmarkStart w:id="172" w:name="ref-sivasubramaniam2024"/>
    <w:p>
      <w:pPr>
        <w:pStyle w:val="Bibliography"/>
      </w:pPr>
      <w:r>
        <w:t xml:space="preserve">29.</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171">
        <w:r>
          <w:rPr>
            <w:rStyle w:val="Hyperlink"/>
          </w:rPr>
          <w:t xml:space="preserve">https://arxiv.org/abs/2411.05521</w:t>
        </w:r>
      </w:hyperlink>
    </w:p>
    <w:bookmarkEnd w:id="172"/>
    <w:bookmarkStart w:id="174" w:name="ref-lee2025"/>
    <w:p>
      <w:pPr>
        <w:pStyle w:val="Bibliography"/>
      </w:pPr>
      <w:r>
        <w:t xml:space="preserve">30.</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173">
        <w:r>
          <w:rPr>
            <w:rStyle w:val="Hyperlink"/>
          </w:rPr>
          <w:t xml:space="preserve">https://arxiv.org/abs/2511.17559</w:t>
        </w:r>
      </w:hyperlink>
    </w:p>
    <w:bookmarkEnd w:id="174"/>
    <w:bookmarkStart w:id="176" w:name="ref-chen2025"/>
    <w:p>
      <w:pPr>
        <w:pStyle w:val="Bibliography"/>
      </w:pPr>
      <w:r>
        <w:t xml:space="preserve">31.</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175">
        <w:r>
          <w:rPr>
            <w:rStyle w:val="Hyperlink"/>
          </w:rPr>
          <w:t xml:space="preserve">https://www.sciencedirect.com/science/article/pii/S0031320324008197</w:t>
        </w:r>
      </w:hyperlink>
    </w:p>
    <w:bookmarkEnd w:id="176"/>
    <w:bookmarkStart w:id="178" w:name="ref-dadi2025"/>
    <w:p>
      <w:pPr>
        <w:pStyle w:val="Bibliography"/>
      </w:pPr>
      <w:r>
        <w:t xml:space="preserve">32.</w:t>
      </w:r>
      <w:r>
        <w:t xml:space="preserve"> </w:t>
      </w:r>
      <w:r>
        <w:t xml:space="preserve">	</w:t>
      </w:r>
      <w:r>
        <w:t xml:space="preserve">Dadi CB.</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 Available from:</w:t>
      </w:r>
      <w:r>
        <w:t xml:space="preserve"> </w:t>
      </w:r>
      <w:hyperlink r:id="rId177">
        <w:r>
          <w:rPr>
            <w:rStyle w:val="Hyperlink"/>
          </w:rPr>
          <w:t xml:space="preserve">https://al-kindipublishers.org/index.php/jcsts/article/view/8823</w:t>
        </w:r>
      </w:hyperlink>
    </w:p>
    <w:bookmarkEnd w:id="178"/>
    <w:bookmarkStart w:id="180" w:name="ref-yuan2019"/>
    <w:p>
      <w:pPr>
        <w:pStyle w:val="Bibliography"/>
      </w:pPr>
      <w:r>
        <w:t xml:space="preserve">33.</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179">
        <w:r>
          <w:rPr>
            <w:rStyle w:val="Hyperlink"/>
          </w:rPr>
          <w:t xml:space="preserve">https://academic.oup.com/jamia/article-abstract/26/4/294/5308980</w:t>
        </w:r>
      </w:hyperlink>
    </w:p>
    <w:bookmarkEnd w:id="180"/>
    <w:bookmarkStart w:id="182" w:name="ref-park2024"/>
    <w:p>
      <w:pPr>
        <w:pStyle w:val="Bibliography"/>
      </w:pPr>
      <w:r>
        <w:t xml:space="preserve">34.</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181">
        <w:r>
          <w:rPr>
            <w:rStyle w:val="Hyperlink"/>
          </w:rPr>
          <w:t xml:space="preserve">https://www.sciencedirect.com/science/article/pii/S1532046424000650</w:t>
        </w:r>
      </w:hyperlink>
    </w:p>
    <w:bookmarkEnd w:id="182"/>
    <w:bookmarkStart w:id="184" w:name="ref-ipeirotis2025"/>
    <w:p>
      <w:pPr>
        <w:pStyle w:val="Bibliography"/>
      </w:pPr>
      <w:r>
        <w:t xml:space="preserve">35.</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183">
        <w:r>
          <w:rPr>
            <w:rStyle w:val="Hyperlink"/>
          </w:rPr>
          <w:t xml:space="preserve">https://arxiv.org/abs/2511.14718</w:t>
        </w:r>
      </w:hyperlink>
    </w:p>
    <w:bookmarkEnd w:id="184"/>
    <w:bookmarkStart w:id="186" w:name="ref-shah2020"/>
    <w:p>
      <w:pPr>
        <w:pStyle w:val="Bibliography"/>
      </w:pPr>
      <w:r>
        <w:t xml:space="preserve">36.</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185">
        <w:r>
          <w:rPr>
            <w:rStyle w:val="Hyperlink"/>
          </w:rPr>
          <w:t xml:space="preserve">https://dl.acm.org/doi/abs/10.1145/3318464.3389777</w:t>
        </w:r>
      </w:hyperlink>
    </w:p>
    <w:bookmarkEnd w:id="186"/>
    <w:bookmarkStart w:id="188" w:name="ref-safari2014"/>
    <w:p>
      <w:pPr>
        <w:pStyle w:val="Bibliography"/>
      </w:pPr>
      <w:r>
        <w:t xml:space="preserve">37.</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187">
        <w:r>
          <w:rPr>
            <w:rStyle w:val="Hyperlink"/>
          </w:rPr>
          <w:t xml:space="preserve">https://www.sciencedirect.com/science/article/pii/S1532046414001592</w:t>
        </w:r>
      </w:hyperlink>
    </w:p>
    <w:bookmarkEnd w:id="188"/>
    <w:bookmarkStart w:id="190" w:name="ref-han2019"/>
    <w:p>
      <w:pPr>
        <w:pStyle w:val="Bibliography"/>
      </w:pPr>
      <w:r>
        <w:t xml:space="preserve">38.</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189">
        <w:r>
          <w:rPr>
            <w:rStyle w:val="Hyperlink"/>
          </w:rPr>
          <w:t xml:space="preserve">https://medinform.jmir.org/2019/2/e13331</w:t>
        </w:r>
      </w:hyperlink>
    </w:p>
    <w:bookmarkEnd w:id="190"/>
    <w:bookmarkStart w:id="192" w:name="ref-marshan2024"/>
    <w:p>
      <w:pPr>
        <w:pStyle w:val="Bibliography"/>
      </w:pPr>
      <w:r>
        <w:t xml:space="preserve">39.</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191">
        <w:r>
          <w:rPr>
            <w:rStyle w:val="Hyperlink"/>
          </w:rPr>
          <w:t xml:space="preserve">https://www.frontiersin.org/articles/10.3389/fdata.2024.1371680</w:t>
        </w:r>
      </w:hyperlink>
    </w:p>
    <w:bookmarkEnd w:id="192"/>
    <w:bookmarkStart w:id="194" w:name="ref-saha2023"/>
    <w:p>
      <w:pPr>
        <w:pStyle w:val="Bibliography"/>
      </w:pPr>
      <w:r>
        <w:t xml:space="preserve">40.</w:t>
      </w:r>
      <w:r>
        <w:t xml:space="preserve"> </w:t>
      </w:r>
      <w:r>
        <w:t xml:space="preserve">	</w:t>
      </w:r>
      <w:r>
        <w:t xml:space="preserve">Saha G B. K.</w:t>
      </w:r>
      <w:r>
        <w:t xml:space="preserve"> </w:t>
      </w:r>
      <w:r>
        <w:t xml:space="preserve">NLINQ: A natural language interface for querying network performance</w:t>
      </w:r>
      <w:r>
        <w:t xml:space="preserve">. Applied Intelligence [Internet]. 2023; Available from:</w:t>
      </w:r>
      <w:r>
        <w:t xml:space="preserve"> </w:t>
      </w:r>
      <w:hyperlink r:id="rId193">
        <w:r>
          <w:rPr>
            <w:rStyle w:val="Hyperlink"/>
          </w:rPr>
          <w:t xml:space="preserve">https://link.springer.com/article/10.1007/s10489-023-04567-2</w:t>
        </w:r>
      </w:hyperlink>
    </w:p>
    <w:bookmarkEnd w:id="194"/>
    <w:bookmarkStart w:id="196" w:name="ref-khandelwal2025"/>
    <w:p>
      <w:pPr>
        <w:pStyle w:val="Bibliography"/>
      </w:pPr>
      <w:r>
        <w:t xml:space="preserve">41.</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195">
        <w:r>
          <w:rPr>
            <w:rStyle w:val="Hyperlink"/>
          </w:rPr>
          <w:t xml:space="preserve">https://sarcouncil.com/2025/06/ai-driven-mainframe-modernization-unlocking-legacy-data-for-cloud-analytics</w:t>
        </w:r>
      </w:hyperlink>
    </w:p>
    <w:bookmarkEnd w:id="196"/>
    <w:bookmarkStart w:id="198" w:name="ref-snowdon2024b"/>
    <w:p>
      <w:pPr>
        <w:pStyle w:val="Bibliography"/>
      </w:pPr>
      <w:r>
        <w:t xml:space="preserve">42.</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97">
        <w:r>
          <w:rPr>
            <w:rStyle w:val="Hyperlink"/>
          </w:rPr>
          <w:t xml:space="preserve">https://legacy.himss.org/news/new-analytics-maturity-adoption-model-pushes-digital-transformation-and-data-driven-decisions</w:t>
        </w:r>
      </w:hyperlink>
    </w:p>
    <w:bookmarkEnd w:id="198"/>
    <w:bookmarkStart w:id="200" w:name="ref-wang2017"/>
    <w:p>
      <w:pPr>
        <w:pStyle w:val="Bibliography"/>
      </w:pPr>
      <w:r>
        <w:t xml:space="preserve">43.</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99">
        <w:r>
          <w:rPr>
            <w:rStyle w:val="Hyperlink"/>
          </w:rPr>
          <w:t xml:space="preserve">https://www.sciencedirect.com/science/article/abs/pii/S0148296316304891</w:t>
        </w:r>
      </w:hyperlink>
    </w:p>
    <w:bookmarkEnd w:id="200"/>
    <w:bookmarkStart w:id="202" w:name="ref-snowdon2024"/>
    <w:p>
      <w:pPr>
        <w:pStyle w:val="Bibliography"/>
      </w:pPr>
      <w:r>
        <w:t xml:space="preserve">44.</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201">
        <w:r>
          <w:rPr>
            <w:rStyle w:val="Hyperlink"/>
          </w:rPr>
          <w:t xml:space="preserve">https://www.jmir.org/2024/1/e56316</w:t>
        </w:r>
      </w:hyperlink>
    </w:p>
    <w:bookmarkEnd w:id="202"/>
    <w:bookmarkStart w:id="204" w:name="ref-snowdon2024a"/>
    <w:p>
      <w:pPr>
        <w:pStyle w:val="Bibliography"/>
      </w:pPr>
      <w:r>
        <w:t xml:space="preserve">45.</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203">
        <w:r>
          <w:rPr>
            <w:rStyle w:val="Hyperlink"/>
          </w:rPr>
          <w:t xml:space="preserve">https://journals.sagepub.com/doi/full/10.1177/23743735241253785</w:t>
        </w:r>
      </w:hyperlink>
    </w:p>
    <w:bookmarkEnd w:id="204"/>
    <w:bookmarkStart w:id="206" w:name="ref-wang2019"/>
    <w:p>
      <w:pPr>
        <w:pStyle w:val="Bibliography"/>
      </w:pPr>
      <w:r>
        <w:t xml:space="preserve">46.</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205">
        <w:r>
          <w:rPr>
            <w:rStyle w:val="Hyperlink"/>
          </w:rPr>
          <w:t xml:space="preserve">https://onlinelibrary.wiley.com/doi/abs/10.1111/1467-8551.12332</w:t>
        </w:r>
      </w:hyperlink>
    </w:p>
    <w:bookmarkEnd w:id="206"/>
    <w:bookmarkStart w:id="208" w:name="ref-gomes2025"/>
    <w:p>
      <w:pPr>
        <w:pStyle w:val="Bibliography"/>
      </w:pPr>
      <w:r>
        <w:t xml:space="preserve">47.</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07">
        <w:r>
          <w:rPr>
            <w:rStyle w:val="Hyperlink"/>
          </w:rPr>
          <w:t xml:space="preserve">https://www.mdpi.com/2227-9032/13/1/1</w:t>
        </w:r>
      </w:hyperlink>
    </w:p>
    <w:bookmarkEnd w:id="208"/>
    <w:bookmarkStart w:id="210" w:name="ref-woods2024"/>
    <w:p>
      <w:pPr>
        <w:pStyle w:val="Bibliography"/>
      </w:pPr>
      <w:r>
        <w:t xml:space="preserve">48.</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09">
        <w:r>
          <w:rPr>
            <w:rStyle w:val="Hyperlink"/>
          </w:rPr>
          <w:t xml:space="preserve">https://www.sciencedirect.com/science/article/pii/S1386505624001916</w:t>
        </w:r>
      </w:hyperlink>
    </w:p>
    <w:bookmarkEnd w:id="210"/>
    <w:bookmarkStart w:id="212" w:name="ref-saintulysse2021"/>
    <w:p>
      <w:pPr>
        <w:pStyle w:val="Bibliography"/>
      </w:pPr>
      <w:r>
        <w:t xml:space="preserve">49.</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11">
        <w:r>
          <w:rPr>
            <w:rStyle w:val="Hyperlink"/>
          </w:rPr>
          <w:t xml:space="preserve">https://scholarworks.waldenu.edu/cgi/viewcontent.cgi?article=12395&amp;context=dissertations</w:t>
        </w:r>
      </w:hyperlink>
    </w:p>
    <w:bookmarkEnd w:id="212"/>
    <w:bookmarkStart w:id="214" w:name="ref-martin2019"/>
    <w:p>
      <w:pPr>
        <w:pStyle w:val="Bibliography"/>
      </w:pPr>
      <w:r>
        <w:t xml:space="preserve">50.</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13">
        <w:r>
          <w:rPr>
            <w:rStyle w:val="Hyperlink"/>
          </w:rPr>
          <w:t xml:space="preserve">https://www.nature.com/articles/s41746-019-0118-9</w:t>
        </w:r>
      </w:hyperlink>
    </w:p>
    <w:bookmarkEnd w:id="214"/>
    <w:bookmarkStart w:id="216" w:name="ref-kamble2019"/>
    <w:p>
      <w:pPr>
        <w:pStyle w:val="Bibliography"/>
      </w:pPr>
      <w:r>
        <w:t xml:space="preserve">51.</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215">
        <w:r>
          <w:rPr>
            <w:rStyle w:val="Hyperlink"/>
          </w:rPr>
          <w:t xml:space="preserve">https://www.tandfonline.com/doi/full/10.1080/20479700.2018.1531606</w:t>
        </w:r>
      </w:hyperlink>
    </w:p>
    <w:bookmarkEnd w:id="216"/>
    <w:bookmarkStart w:id="218" w:name="ref-health2020"/>
    <w:p>
      <w:pPr>
        <w:pStyle w:val="Bibliography"/>
      </w:pPr>
      <w:r>
        <w:t xml:space="preserve">52.</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217">
        <w:r>
          <w:rPr>
            <w:rStyle w:val="Hyperlink"/>
          </w:rPr>
          <w:t xml:space="preserve">https://www.healthcatalyst.com/learn/insights/healthcare-analytics-adoption-model-roadmap-analytic-maturity</w:t>
        </w:r>
      </w:hyperlink>
    </w:p>
    <w:bookmarkEnd w:id="218"/>
    <w:bookmarkStart w:id="220" w:name="ref-carvalho2019"/>
    <w:p>
      <w:pPr>
        <w:pStyle w:val="Bibliography"/>
      </w:pPr>
      <w:r>
        <w:t xml:space="preserve">53.</w:t>
      </w:r>
      <w:r>
        <w:t xml:space="preserve"> </w:t>
      </w:r>
      <w:r>
        <w:t xml:space="preserve">	</w:t>
      </w:r>
      <w:r>
        <w:t xml:space="preserve">Carvalho JV, Rocha Á, Vasconcelos J.</w:t>
      </w:r>
      <w:r>
        <w:t xml:space="preserve"> </w:t>
      </w:r>
      <w:hyperlink r:id="rId219">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20"/>
    <w:bookmarkStart w:id="221" w:name="ref-pintovalverde2013"/>
    <w:p>
      <w:pPr>
        <w:pStyle w:val="Bibliography"/>
      </w:pPr>
      <w:r>
        <w:t xml:space="preserve">54.</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221"/>
    <w:bookmarkStart w:id="222" w:name="ref-gokalp2023"/>
    <w:p>
      <w:pPr>
        <w:pStyle w:val="Bibliography"/>
      </w:pPr>
      <w:r>
        <w:t xml:space="preserve">55.</w:t>
      </w:r>
      <w:r>
        <w:t xml:space="preserve"> </w:t>
      </w:r>
      <w:r>
        <w:t xml:space="preserve">	</w:t>
      </w:r>
      <w:r>
        <w:t xml:space="preserve">Gökalp MO, Gökalp E, Gökalp S.</w:t>
      </w:r>
      <w:r>
        <w:t xml:space="preserve"> </w:t>
      </w:r>
      <w:r>
        <w:t xml:space="preserve">The development of data analytics maturity assessment framework: DAMAF</w:t>
      </w:r>
      <w:r>
        <w:t xml:space="preserve">. Journal of Software: Evolution and Process. 2023;35(4):e2448.</w:t>
      </w:r>
      <w:r>
        <w:t xml:space="preserve"> </w:t>
      </w:r>
    </w:p>
    <w:bookmarkEnd w:id="222"/>
    <w:bookmarkStart w:id="223" w:name="ref-lismont2017"/>
    <w:p>
      <w:pPr>
        <w:pStyle w:val="Bibliography"/>
      </w:pPr>
      <w:r>
        <w:t xml:space="preserve">56.</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223"/>
    <w:bookmarkStart w:id="224" w:name="ref-yang2021"/>
    <w:p>
      <w:pPr>
        <w:pStyle w:val="Bibliography"/>
      </w:pPr>
      <w:r>
        <w:t xml:space="preserve">57.</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224"/>
    <w:bookmarkStart w:id="225" w:name="ref-arts2002"/>
    <w:p>
      <w:pPr>
        <w:pStyle w:val="Bibliography"/>
      </w:pPr>
      <w:r>
        <w:t xml:space="preserve">58.</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225"/>
    <w:bookmarkStart w:id="226" w:name="ref-mccoy2013"/>
    <w:p>
      <w:pPr>
        <w:pStyle w:val="Bibliography"/>
      </w:pPr>
      <w:r>
        <w:t xml:space="preserve">59.</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226"/>
    <w:bookmarkStart w:id="227" w:name="ref-zhang2024"/>
    <w:p>
      <w:pPr>
        <w:pStyle w:val="Bibliography"/>
      </w:pPr>
      <w:r>
        <w:t xml:space="preserve">60.</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227"/>
    <w:bookmarkStart w:id="228" w:name="ref-rahman2020"/>
    <w:p>
      <w:pPr>
        <w:pStyle w:val="Bibliography"/>
      </w:pPr>
      <w:r>
        <w:t xml:space="preserve">61.</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228"/>
    <w:bookmarkStart w:id="229" w:name="ref-sirgo2018"/>
    <w:p>
      <w:pPr>
        <w:pStyle w:val="Bibliography"/>
      </w:pPr>
      <w:r>
        <w:t xml:space="preserve">62.</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29"/>
    <w:bookmarkStart w:id="230" w:name="ref-shi2021"/>
    <w:p>
      <w:pPr>
        <w:pStyle w:val="Bibliography"/>
      </w:pPr>
      <w:r>
        <w:t xml:space="preserve">63.</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30"/>
    <w:bookmarkStart w:id="231" w:name="ref-dugas2016"/>
    <w:p>
      <w:pPr>
        <w:pStyle w:val="Bibliography"/>
      </w:pPr>
      <w:r>
        <w:t xml:space="preserve">64.</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31"/>
    <w:bookmarkStart w:id="232" w:name="ref-bokov2017"/>
    <w:p>
      <w:pPr>
        <w:pStyle w:val="Bibliography"/>
      </w:pPr>
      <w:r>
        <w:t xml:space="preserve">65.</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32"/>
    <w:bookmarkStart w:id="233" w:name="ref-ulrich2022"/>
    <w:p>
      <w:pPr>
        <w:pStyle w:val="Bibliography"/>
      </w:pPr>
      <w:r>
        <w:t xml:space="preserve">66.</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33"/>
    <w:bookmarkStart w:id="234" w:name="ref-lucyk2017"/>
    <w:p>
      <w:pPr>
        <w:pStyle w:val="Bibliography"/>
      </w:pPr>
      <w:r>
        <w:t xml:space="preserve">67.</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34"/>
    <w:bookmarkStart w:id="235" w:name="ref-hovenga2013"/>
    <w:p>
      <w:pPr>
        <w:pStyle w:val="Bibliography"/>
      </w:pPr>
      <w:r>
        <w:t xml:space="preserve">68.</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35"/>
    <w:bookmarkStart w:id="237" w:name="ref-wu2024"/>
    <w:p>
      <w:pPr>
        <w:pStyle w:val="Bibliography"/>
      </w:pPr>
      <w:r>
        <w:t xml:space="preserve">69.</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36">
        <w:r>
          <w:rPr>
            <w:rStyle w:val="Hyperlink"/>
          </w:rPr>
          <w:t xml:space="preserve">https://pmc.ncbi.nlm.nih.gov/articles/PMC10802134/</w:t>
        </w:r>
      </w:hyperlink>
    </w:p>
    <w:bookmarkEnd w:id="237"/>
    <w:bookmarkStart w:id="239" w:name="ref-ren2024"/>
    <w:p>
      <w:pPr>
        <w:pStyle w:val="Bibliography"/>
      </w:pPr>
      <w:r>
        <w:t xml:space="preserve">70.</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38">
        <w:r>
          <w:rPr>
            <w:rStyle w:val="Hyperlink"/>
          </w:rPr>
          <w:t xml:space="preserve">https://pmc.ncbi.nlm.nih.gov/articles/PMC11919231/</w:t>
        </w:r>
      </w:hyperlink>
    </w:p>
    <w:bookmarkEnd w:id="239"/>
    <w:bookmarkStart w:id="241" w:name="ref-massingham2018"/>
    <w:p>
      <w:pPr>
        <w:pStyle w:val="Bibliography"/>
      </w:pPr>
      <w:r>
        <w:t xml:space="preserve">71.</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240">
        <w:r>
          <w:rPr>
            <w:rStyle w:val="Hyperlink"/>
          </w:rPr>
          <w:t xml:space="preserve">https://doi.org/10.1108/JKM-08-2016-0338</w:t>
        </w:r>
      </w:hyperlink>
    </w:p>
    <w:bookmarkEnd w:id="241"/>
    <w:bookmarkStart w:id="243" w:name="ref-jones2005"/>
    <w:p>
      <w:pPr>
        <w:pStyle w:val="Bibliography"/>
      </w:pPr>
      <w:r>
        <w:t xml:space="preserve">72.</w:t>
      </w:r>
      <w:r>
        <w:t xml:space="preserve"> </w:t>
      </w:r>
      <w:r>
        <w:t xml:space="preserve">	</w:t>
      </w:r>
      <w:r>
        <w:t xml:space="preserve">Jones CB.</w:t>
      </w:r>
      <w:r>
        <w:t xml:space="preserve"> </w:t>
      </w:r>
      <w:r>
        <w:t xml:space="preserve">The costs of nurse turnover, Part 2: Application of the nursing turnover cost calculation methodology</w:t>
      </w:r>
      <w:r>
        <w:t xml:space="preserve">. Journal of Nursing Administration [Internet]. 2005; Available from:</w:t>
      </w:r>
      <w:r>
        <w:t xml:space="preserve"> </w:t>
      </w:r>
      <w:hyperlink r:id="rId242">
        <w:r>
          <w:rPr>
            <w:rStyle w:val="Hyperlink"/>
          </w:rPr>
          <w:t xml:space="preserve">https://journals.lww.com/jonajournal/abstract/2005/01000/the_costs_of_nurse_turnover__part_2__application.14.aspx</w:t>
        </w:r>
      </w:hyperlink>
    </w:p>
    <w:bookmarkEnd w:id="243"/>
    <w:bookmarkStart w:id="245" w:name="ref-willardgrace2019"/>
    <w:p>
      <w:pPr>
        <w:pStyle w:val="Bibliography"/>
      </w:pPr>
      <w:r>
        <w:t xml:space="preserve">73.</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44">
        <w:r>
          <w:rPr>
            <w:rStyle w:val="Hyperlink"/>
          </w:rPr>
          <w:t xml:space="preserve">https://www.annfammed.org/content/17/1/36</w:t>
        </w:r>
      </w:hyperlink>
    </w:p>
    <w:bookmarkEnd w:id="245"/>
    <w:bookmarkStart w:id="247" w:name="ref-melnick2021"/>
    <w:p>
      <w:pPr>
        <w:pStyle w:val="Bibliography"/>
      </w:pPr>
      <w:r>
        <w:t xml:space="preserve">74.</w:t>
      </w:r>
      <w:r>
        <w:t xml:space="preserve"> </w:t>
      </w:r>
      <w:r>
        <w:t xml:space="preserve">	</w:t>
      </w:r>
      <w:r>
        <w:t xml:space="preserve">Melnick F E. R.</w:t>
      </w:r>
      <w:r>
        <w:t xml:space="preserve"> </w:t>
      </w:r>
      <w:r>
        <w:t xml:space="preserve">Analysis of electronic health record use and clinical productivity and their association with physician turnover</w:t>
      </w:r>
      <w:r>
        <w:t xml:space="preserve">.</w:t>
      </w:r>
      <w:r>
        <w:t xml:space="preserve"> </w:t>
      </w:r>
      <w:r>
        <w:t xml:space="preserve">JAMA</w:t>
      </w:r>
      <w:r>
        <w:t xml:space="preserve"> </w:t>
      </w:r>
      <w:r>
        <w:t xml:space="preserve">Network Open [Internet]. 2021; Available from:</w:t>
      </w:r>
      <w:r>
        <w:t xml:space="preserve"> </w:t>
      </w:r>
      <w:hyperlink r:id="rId246">
        <w:r>
          <w:rPr>
            <w:rStyle w:val="Hyperlink"/>
          </w:rPr>
          <w:t xml:space="preserve">https://jamanetwork.com/journals/jamanetworkopen/fullarticle/2784810</w:t>
        </w:r>
      </w:hyperlink>
    </w:p>
    <w:bookmarkEnd w:id="247"/>
    <w:bookmarkStart w:id="249" w:name="ref-oracle2024"/>
    <w:p>
      <w:pPr>
        <w:pStyle w:val="Bibliography"/>
      </w:pPr>
      <w:r>
        <w:t xml:space="preserve">75.</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248">
        <w:r>
          <w:rPr>
            <w:rStyle w:val="Hyperlink"/>
          </w:rPr>
          <w:t xml:space="preserve">https://www.oracle.com/human-capital-management/cost-employee-turnover-healthcare/</w:t>
        </w:r>
      </w:hyperlink>
    </w:p>
    <w:bookmarkEnd w:id="249"/>
    <w:bookmarkStart w:id="251" w:name="ref-ledikwe2013"/>
    <w:p>
      <w:pPr>
        <w:pStyle w:val="Bibliography"/>
      </w:pPr>
      <w:r>
        <w:t xml:space="preserve">76.</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50">
        <w:r>
          <w:rPr>
            <w:rStyle w:val="Hyperlink"/>
          </w:rPr>
          <w:t xml:space="preserve">https://human-resources-health.biomedcentral.com/articles/10.1186/1478-4491-11-35</w:t>
        </w:r>
      </w:hyperlink>
    </w:p>
    <w:bookmarkEnd w:id="251"/>
    <w:bookmarkStart w:id="253" w:name="ref-mantas2010"/>
    <w:p>
      <w:pPr>
        <w:pStyle w:val="Bibliography"/>
      </w:pPr>
      <w:r>
        <w:t xml:space="preserve">77.</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52">
        <w:r>
          <w:rPr>
            <w:rStyle w:val="Hyperlink"/>
          </w:rPr>
          <w:t xml:space="preserve">https://pubmed.ncbi.nlm.nih.gov/20054502/</w:t>
        </w:r>
      </w:hyperlink>
    </w:p>
    <w:bookmarkEnd w:id="253"/>
    <w:bookmarkStart w:id="255" w:name="ref-musa2023"/>
    <w:p>
      <w:pPr>
        <w:pStyle w:val="Bibliography"/>
      </w:pPr>
      <w:r>
        <w:t xml:space="preserve">78.</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54">
        <w:r>
          <w:rPr>
            <w:rStyle w:val="Hyperlink"/>
          </w:rPr>
          <w:t xml:space="preserve">https://pmc.ncbi.nlm.nih.gov/articles/PMC10243608/</w:t>
        </w:r>
      </w:hyperlink>
    </w:p>
    <w:bookmarkEnd w:id="255"/>
    <w:bookmarkStart w:id="257" w:name="ref-konrad2022"/>
    <w:p>
      <w:pPr>
        <w:pStyle w:val="Bibliography"/>
      </w:pPr>
      <w:r>
        <w:t xml:space="preserve">79.</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56">
        <w:r>
          <w:rPr>
            <w:rStyle w:val="Hyperlink"/>
          </w:rPr>
          <w:t xml:space="preserve">https://www.diva-portal.org/smash/record.jsf?pid=diva2:1684142</w:t>
        </w:r>
      </w:hyperlink>
    </w:p>
    <w:bookmarkEnd w:id="257"/>
    <w:bookmarkStart w:id="259" w:name="ref-rangachari2020"/>
    <w:p>
      <w:pPr>
        <w:pStyle w:val="Bibliography"/>
      </w:pPr>
      <w:r>
        <w:t xml:space="preserve">80.</w:t>
      </w:r>
      <w:r>
        <w:t xml:space="preserve"> </w:t>
      </w:r>
      <w:r>
        <w:t xml:space="preserve">	</w:t>
      </w:r>
      <w:r>
        <w:t xml:space="preserve">Rangachari &amp;W P.</w:t>
      </w:r>
      <w:r>
        <w:t xml:space="preserve"> </w:t>
      </w:r>
      <w:r>
        <w:t xml:space="preserve">Preserving organizational resilience, patient safety, and staff retention during COVID-19 requires a holistic consideration of the psychological safety of healthcare workers</w:t>
      </w:r>
      <w:r>
        <w:t xml:space="preserve">. International Journal of Environmental Research and Public Health [Internet]. 2020; Available from:</w:t>
      </w:r>
      <w:r>
        <w:t xml:space="preserve"> </w:t>
      </w:r>
      <w:hyperlink r:id="rId258">
        <w:r>
          <w:rPr>
            <w:rStyle w:val="Hyperlink"/>
          </w:rPr>
          <w:t xml:space="preserve">https://www.mdpi.com/1660-4601/17/12/4267</w:t>
        </w:r>
      </w:hyperlink>
    </w:p>
    <w:bookmarkEnd w:id="259"/>
    <w:bookmarkStart w:id="261" w:name="ref-bae2010"/>
    <w:p>
      <w:pPr>
        <w:pStyle w:val="Bibliography"/>
      </w:pPr>
      <w:r>
        <w:t xml:space="preserve">81.</w:t>
      </w:r>
      <w:r>
        <w:t xml:space="preserve"> </w:t>
      </w:r>
      <w:r>
        <w:t xml:space="preserve">	</w:t>
      </w:r>
      <w:r>
        <w:t xml:space="preserve">Bae M S. H.</w:t>
      </w:r>
      <w:r>
        <w:t xml:space="preserve"> </w:t>
      </w:r>
      <w:r>
        <w:t xml:space="preserve">Impact of nursing unit turnover on patient outcomes in hospitals</w:t>
      </w:r>
      <w:r>
        <w:t xml:space="preserve">. Journal of Nursing Scholarship [Internet]. 2010; Available from:</w:t>
      </w:r>
      <w:r>
        <w:t xml:space="preserve"> </w:t>
      </w:r>
      <w:hyperlink r:id="rId260">
        <w:r>
          <w:rPr>
            <w:rStyle w:val="Hyperlink"/>
          </w:rPr>
          <w:t xml:space="preserve">https://onlinelibrary.wiley.com/doi/abs/10.1111/j.1547-5069.2009.01319.x</w:t>
        </w:r>
      </w:hyperlink>
    </w:p>
    <w:bookmarkEnd w:id="261"/>
    <w:bookmarkStart w:id="263" w:name="ref-wakerman2019"/>
    <w:p>
      <w:pPr>
        <w:pStyle w:val="Bibliography"/>
      </w:pPr>
      <w:r>
        <w:t xml:space="preserve">82.</w:t>
      </w:r>
      <w:r>
        <w:t xml:space="preserve"> </w:t>
      </w:r>
      <w:r>
        <w:t xml:space="preserve">	</w:t>
      </w:r>
      <w:r>
        <w:t xml:space="preserve">Wakerman H J.</w:t>
      </w:r>
      <w:r>
        <w:t xml:space="preserve"> </w:t>
      </w:r>
      <w:r>
        <w:t xml:space="preserve">Remote health workforce turnover and retention: What are the policy and practice priorities?</w:t>
      </w:r>
      <w:r>
        <w:t xml:space="preserve"> Human Resources for Health [Internet]. 2019; Available from:</w:t>
      </w:r>
      <w:r>
        <w:t xml:space="preserve"> </w:t>
      </w:r>
      <w:hyperlink r:id="rId262">
        <w:r>
          <w:rPr>
            <w:rStyle w:val="Hyperlink"/>
          </w:rPr>
          <w:t xml:space="preserve">https://human-resources-health.biomedcentral.com/articles/10.1186/s12960-019-0432-y</w:t>
        </w:r>
      </w:hyperlink>
    </w:p>
    <w:bookmarkEnd w:id="263"/>
    <w:bookmarkStart w:id="265" w:name="ref-lahaie2005"/>
    <w:p>
      <w:pPr>
        <w:pStyle w:val="Bibliography"/>
      </w:pPr>
      <w:r>
        <w:t xml:space="preserve">83.</w:t>
      </w:r>
      <w:r>
        <w:t xml:space="preserve"> </w:t>
      </w:r>
      <w:r>
        <w:t xml:space="preserve">	</w:t>
      </w:r>
      <w:r>
        <w:t xml:space="preserve">Lahaie D.</w:t>
      </w:r>
      <w:r>
        <w:t xml:space="preserve"> </w:t>
      </w:r>
      <w:r>
        <w:t xml:space="preserve">The impact of corporate memory loss: What happens when a senior executive leaves?</w:t>
      </w:r>
      <w:r>
        <w:t xml:space="preserve"> Leadership in Health Services [Internet]. 2005; Available from:</w:t>
      </w:r>
      <w:r>
        <w:t xml:space="preserve"> </w:t>
      </w:r>
      <w:hyperlink r:id="rId264">
        <w:r>
          <w:rPr>
            <w:rStyle w:val="Hyperlink"/>
          </w:rPr>
          <w:t xml:space="preserve">https://www.emerald.com/insight/content/doi/10.1108/13660750510611198/full/html</w:t>
        </w:r>
      </w:hyperlink>
    </w:p>
    <w:bookmarkEnd w:id="265"/>
    <w:bookmarkStart w:id="267" w:name="ref-mayo2016"/>
    <w:p>
      <w:pPr>
        <w:pStyle w:val="Bibliography"/>
      </w:pPr>
      <w:r>
        <w:t xml:space="preserve">84.</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66">
        <w:r>
          <w:rPr>
            <w:rStyle w:val="Hyperlink"/>
          </w:rPr>
          <w:t xml:space="preserve">https://www.redjournal.org/article/S0360-3016(16)00260-1/fulltext</w:t>
        </w:r>
      </w:hyperlink>
    </w:p>
    <w:bookmarkEnd w:id="267"/>
    <w:bookmarkStart w:id="269" w:name="ref-goffin2011"/>
    <w:p>
      <w:pPr>
        <w:pStyle w:val="Bibliography"/>
      </w:pPr>
      <w:r>
        <w:t xml:space="preserve">85.</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68">
        <w:r>
          <w:rPr>
            <w:rStyle w:val="Hyperlink"/>
          </w:rPr>
          <w:t xml:space="preserve">https://onlinelibrary.wiley.com/doi/abs/10.1111/j.1540-5885.2010.00798.x</w:t>
        </w:r>
      </w:hyperlink>
    </w:p>
    <w:bookmarkEnd w:id="269"/>
    <w:bookmarkStart w:id="271" w:name="ref-foos2006"/>
    <w:p>
      <w:pPr>
        <w:pStyle w:val="Bibliography"/>
      </w:pPr>
      <w:r>
        <w:t xml:space="preserve">86.</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270">
        <w:r>
          <w:rPr>
            <w:rStyle w:val="Hyperlink"/>
          </w:rPr>
          <w:t xml:space="preserve">https://www.emerald.com/insight/content/doi/10.1108/13673270610650067/full/html</w:t>
        </w:r>
      </w:hyperlink>
    </w:p>
    <w:bookmarkEnd w:id="271"/>
    <w:bookmarkStart w:id="273" w:name="ref-goffin2010"/>
    <w:p>
      <w:pPr>
        <w:pStyle w:val="Bibliography"/>
      </w:pPr>
      <w:r>
        <w:t xml:space="preserve">87.</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72">
        <w:r>
          <w:rPr>
            <w:rStyle w:val="Hyperlink"/>
          </w:rPr>
          <w:t xml:space="preserve">https://www.tandfonline.com/doi/abs/10.1080/08956308.2010.11657637</w:t>
        </w:r>
      </w:hyperlink>
    </w:p>
    <w:bookmarkEnd w:id="273"/>
    <w:bookmarkStart w:id="275" w:name="ref-rintala2006"/>
    <w:p>
      <w:pPr>
        <w:pStyle w:val="Bibliography"/>
      </w:pPr>
      <w:r>
        <w:t xml:space="preserve">88.</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74">
        <w:r>
          <w:rPr>
            <w:rStyle w:val="Hyperlink"/>
          </w:rPr>
          <w:t xml:space="preserve">https://www.inderscienceonline.com/doi/abs/10.1504/IJNKM.2006.009880</w:t>
        </w:r>
      </w:hyperlink>
    </w:p>
    <w:bookmarkEnd w:id="275"/>
    <w:bookmarkStart w:id="277" w:name="ref-shahbaz2019"/>
    <w:p>
      <w:pPr>
        <w:pStyle w:val="Bibliography"/>
      </w:pPr>
      <w:r>
        <w:t xml:space="preserve">89.</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276">
        <w:r>
          <w:rPr>
            <w:rStyle w:val="Hyperlink"/>
          </w:rPr>
          <w:t xml:space="preserve">https://journalofbigdata.springeropen.com/articles/10.1186/s40537-019-0170-y</w:t>
        </w:r>
      </w:hyperlink>
    </w:p>
    <w:bookmarkEnd w:id="277"/>
    <w:bookmarkStart w:id="279" w:name="ref-milneives2020"/>
    <w:p>
      <w:pPr>
        <w:pStyle w:val="Bibliography"/>
      </w:pPr>
      <w:r>
        <w:t xml:space="preserve">90.</w:t>
      </w:r>
      <w:r>
        <w:t xml:space="preserve"> </w:t>
      </w:r>
      <w:r>
        <w:t xml:space="preserve">	</w:t>
      </w:r>
      <w:r>
        <w:t xml:space="preserve">Milne-Ives DC M.</w:t>
      </w:r>
      <w:r>
        <w:t xml:space="preserve"> </w:t>
      </w:r>
      <w:r>
        <w:t xml:space="preserve">The effectiveness of artificial intelligence conversational agents in health care: systematic review</w:t>
      </w:r>
      <w:r>
        <w:t xml:space="preserve">. Journal of Medical Internet Research [Internet]. 2020; Available from:</w:t>
      </w:r>
      <w:r>
        <w:t xml:space="preserve"> </w:t>
      </w:r>
      <w:hyperlink r:id="rId278">
        <w:r>
          <w:rPr>
            <w:rStyle w:val="Hyperlink"/>
          </w:rPr>
          <w:t xml:space="preserve">https://www.jmir.org/2020/10/e20346/</w:t>
        </w:r>
      </w:hyperlink>
    </w:p>
    <w:bookmarkEnd w:id="279"/>
    <w:bookmarkStart w:id="281" w:name="ref-li2023"/>
    <w:p>
      <w:pPr>
        <w:pStyle w:val="Bibliography"/>
      </w:pPr>
      <w:r>
        <w:t xml:space="preserve">91.</w:t>
      </w:r>
      <w:r>
        <w:t xml:space="preserve"> </w:t>
      </w:r>
      <w:r>
        <w:t xml:space="preserve">	</w:t>
      </w:r>
      <w:r>
        <w:t xml:space="preserve">Li L Y.</w:t>
      </w:r>
      <w:r>
        <w:t xml:space="preserve"> </w:t>
      </w:r>
      <w:r>
        <w:t xml:space="preserve">Feasibility and effectiveness of artificial intelligence-driven conversational agents in healthcare interventions: A systematic review of randomized controlled trials</w:t>
      </w:r>
      <w:r>
        <w:t xml:space="preserve">. International Journal of Medical Informatics [Internet]. 2023; Available from:</w:t>
      </w:r>
      <w:r>
        <w:t xml:space="preserve"> </w:t>
      </w:r>
      <w:hyperlink r:id="rId280">
        <w:r>
          <w:rPr>
            <w:rStyle w:val="Hyperlink"/>
          </w:rPr>
          <w:t xml:space="preserve">https://www.sciencedirect.com/science/article/pii/S1386505623001296</w:t>
        </w:r>
      </w:hyperlink>
    </w:p>
    <w:bookmarkEnd w:id="281"/>
    <w:bookmarkStart w:id="283" w:name="ref-rollwage2023"/>
    <w:p>
      <w:pPr>
        <w:pStyle w:val="Bibliography"/>
      </w:pPr>
      <w:r>
        <w:t xml:space="preserve">92.</w:t>
      </w:r>
      <w:r>
        <w:t xml:space="preserve"> </w:t>
      </w:r>
      <w:r>
        <w:t xml:space="preserve">	</w:t>
      </w:r>
      <w:r>
        <w:t xml:space="preserve">Rollwage H M.</w:t>
      </w:r>
      <w:r>
        <w:t xml:space="preserve"> </w:t>
      </w:r>
      <w:r>
        <w:t xml:space="preserve">Using conversational</w:t>
      </w:r>
      <w:r>
        <w:t xml:space="preserve"> </w:t>
      </w:r>
      <w:r>
        <w:t xml:space="preserve">AI</w:t>
      </w:r>
      <w:r>
        <w:t xml:space="preserve"> </w:t>
      </w:r>
      <w:r>
        <w:t xml:space="preserve">to facilitate mental health assessments and improve clinical efficiency within psychotherapy services: real-world observational study</w:t>
      </w:r>
      <w:r>
        <w:t xml:space="preserve">.</w:t>
      </w:r>
      <w:r>
        <w:t xml:space="preserve"> </w:t>
      </w:r>
      <w:r>
        <w:t xml:space="preserve">JMIR</w:t>
      </w:r>
      <w:r>
        <w:t xml:space="preserve"> </w:t>
      </w:r>
      <w:r>
        <w:t xml:space="preserve">AI</w:t>
      </w:r>
      <w:r>
        <w:t xml:space="preserve"> </w:t>
      </w:r>
      <w:r>
        <w:t xml:space="preserve">[Internet]. 2023; Available from:</w:t>
      </w:r>
      <w:r>
        <w:t xml:space="preserve"> </w:t>
      </w:r>
      <w:hyperlink r:id="rId282">
        <w:r>
          <w:rPr>
            <w:rStyle w:val="Hyperlink"/>
          </w:rPr>
          <w:t xml:space="preserve">https://ai.jmir.org/2023/1/e44358</w:t>
        </w:r>
      </w:hyperlink>
    </w:p>
    <w:bookmarkEnd w:id="283"/>
    <w:bookmarkStart w:id="285" w:name="ref-sezgin2022"/>
    <w:p>
      <w:pPr>
        <w:pStyle w:val="Bibliography"/>
      </w:pPr>
      <w:r>
        <w:t xml:space="preserve">93.</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284">
        <w:r>
          <w:rPr>
            <w:rStyle w:val="Hyperlink"/>
          </w:rPr>
          <w:t xml:space="preserve">https://medinform.jmir.org/2022/2/e32875</w:t>
        </w:r>
      </w:hyperlink>
    </w:p>
    <w:bookmarkEnd w:id="285"/>
    <w:bookmarkStart w:id="287" w:name="ref-jiao2023"/>
    <w:p>
      <w:pPr>
        <w:pStyle w:val="Bibliography"/>
      </w:pPr>
      <w:r>
        <w:t xml:space="preserve">94.</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286">
        <w:r>
          <w:rPr>
            <w:rStyle w:val="Hyperlink"/>
          </w:rPr>
          <w:t xml:space="preserve">https://ieeexplore.ieee.org/document/10297311</w:t>
        </w:r>
      </w:hyperlink>
    </w:p>
    <w:bookmarkEnd w:id="287"/>
    <w:bookmarkStart w:id="289" w:name="ref-dai2023"/>
    <w:p>
      <w:pPr>
        <w:pStyle w:val="Bibliography"/>
      </w:pPr>
      <w:r>
        <w:t xml:space="preserve">95.</w:t>
      </w:r>
      <w:r>
        <w:t xml:space="preserve"> </w:t>
      </w:r>
      <w:r>
        <w:t xml:space="preserve">	</w:t>
      </w:r>
      <w:r>
        <w:t xml:space="preserve">Dai &amp;A T.</w:t>
      </w:r>
      <w:r>
        <w:t xml:space="preserve"> </w:t>
      </w:r>
      <w:r>
        <w:t xml:space="preserve">Incorporating artificial intelligence into healthcare workflows: Models and insights. In</w:t>
      </w:r>
      <w:r>
        <w:t xml:space="preserve">. Tutorials in Operations Research: Advancing the Frontiers of OR/MS [Internet]. 2023; Available from:</w:t>
      </w:r>
      <w:r>
        <w:t xml:space="preserve"> </w:t>
      </w:r>
      <w:hyperlink r:id="rId288">
        <w:r>
          <w:rPr>
            <w:rStyle w:val="Hyperlink"/>
          </w:rPr>
          <w:t xml:space="preserve">https://pubsonline.informs.org/doi/abs/10.1287/educ.2023.0257</w:t>
        </w:r>
      </w:hyperlink>
    </w:p>
    <w:bookmarkEnd w:id="289"/>
    <w:bookmarkStart w:id="291" w:name="ref-berkshire2024"/>
    <w:p>
      <w:pPr>
        <w:pStyle w:val="Bibliography"/>
      </w:pPr>
      <w:r>
        <w:t xml:space="preserve">96.</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290">
        <w:r>
          <w:rPr>
            <w:rStyle w:val="Hyperlink"/>
          </w:rPr>
          <w:t xml:space="preserve">https://ia.berkshirehealthcare.nhs.uk/citizen-developer-programme</w:t>
        </w:r>
      </w:hyperlink>
    </w:p>
    <w:bookmarkEnd w:id="291"/>
    <w:bookmarkStart w:id="293" w:name="ref-elkamouchi2023"/>
    <w:p>
      <w:pPr>
        <w:pStyle w:val="Bibliography"/>
      </w:pPr>
      <w:r>
        <w:t xml:space="preserve">97.</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292">
        <w:r>
          <w:rPr>
            <w:rStyle w:val="Hyperlink"/>
          </w:rPr>
          <w:t xml:space="preserve">https://ieeexplore.ieee.org/abstract/document/10373712/</w:t>
        </w:r>
      </w:hyperlink>
    </w:p>
    <w:bookmarkEnd w:id="293"/>
    <w:bookmarkStart w:id="295" w:name="ref-aveiro2023"/>
    <w:p>
      <w:pPr>
        <w:pStyle w:val="Bibliography"/>
      </w:pPr>
      <w:r>
        <w:t xml:space="preserve">98.</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294">
        <w:r>
          <w:rPr>
            <w:rStyle w:val="Hyperlink"/>
          </w:rPr>
          <w:t xml:space="preserve">https://ieeexplore.ieee.org/document/10186753</w:t>
        </w:r>
      </w:hyperlink>
    </w:p>
    <w:bookmarkEnd w:id="295"/>
    <w:bookmarkStart w:id="297" w:name="ref-forrester2024"/>
    <w:p>
      <w:pPr>
        <w:pStyle w:val="Bibliography"/>
      </w:pPr>
      <w:r>
        <w:t xml:space="preserve">99.</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296">
        <w:r>
          <w:rPr>
            <w:rStyle w:val="Hyperlink"/>
          </w:rPr>
          <w:t xml:space="preserve">https://tei.forrester.com/go/microsoft/powerappstei/?lang=en-us</w:t>
        </w:r>
      </w:hyperlink>
    </w:p>
    <w:bookmarkEnd w:id="297"/>
    <w:bookmarkStart w:id="299" w:name="ref-mogili2025"/>
    <w:p>
      <w:pPr>
        <w:pStyle w:val="Bibliography"/>
      </w:pPr>
      <w:r>
        <w:t xml:space="preserve">100.</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298">
        <w:r>
          <w:rPr>
            <w:rStyle w:val="Hyperlink"/>
          </w:rPr>
          <w:t xml:space="preserve">https://sarcouncil.com/download-article/SJECS-209-_2025-630-636.pdf</w:t>
        </w:r>
      </w:hyperlink>
    </w:p>
    <w:bookmarkEnd w:id="299"/>
    <w:bookmarkStart w:id="301" w:name="ref-pervaiz2025"/>
    <w:p>
      <w:pPr>
        <w:pStyle w:val="Bibliography"/>
      </w:pPr>
      <w:r>
        <w:t xml:space="preserve">101.</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00">
        <w:r>
          <w:rPr>
            <w:rStyle w:val="Hyperlink"/>
          </w:rPr>
          <w:t xml:space="preserve">https://imjstb.com/index.php/Journal/article/view/95</w:t>
        </w:r>
      </w:hyperlink>
    </w:p>
    <w:bookmarkEnd w:id="301"/>
    <w:bookmarkStart w:id="303" w:name="ref-pennington2023"/>
    <w:p>
      <w:pPr>
        <w:pStyle w:val="Bibliography"/>
      </w:pPr>
      <w:r>
        <w:t xml:space="preserve">102.</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02">
        <w:r>
          <w:rPr>
            <w:rStyle w:val="Hyperlink"/>
          </w:rPr>
          <w:t xml:space="preserve">https://mds.marshall.edu/etd/1824/</w:t>
        </w:r>
      </w:hyperlink>
    </w:p>
    <w:bookmarkEnd w:id="303"/>
    <w:bookmarkStart w:id="305" w:name="ref-atobatele2023"/>
    <w:p>
      <w:pPr>
        <w:pStyle w:val="Bibliography"/>
      </w:pPr>
      <w:r>
        <w:t xml:space="preserve">103.</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04">
        <w:r>
          <w:rPr>
            <w:rStyle w:val="Hyperlink"/>
          </w:rPr>
          <w:t xml:space="preserve">https://gisrrj.com/paper/GISRRJ236426.pdf</w:t>
        </w:r>
      </w:hyperlink>
    </w:p>
    <w:bookmarkEnd w:id="305"/>
    <w:bookmarkStart w:id="307" w:name="ref-tan2023"/>
    <w:p>
      <w:pPr>
        <w:pStyle w:val="Bibliography"/>
      </w:pPr>
      <w:r>
        <w:t xml:space="preserve">104.</w:t>
      </w:r>
      <w:r>
        <w:t xml:space="preserve"> </w:t>
      </w:r>
      <w:r>
        <w:t xml:space="preserve">	</w:t>
      </w:r>
      <w:r>
        <w:t xml:space="preserve">Tan T J. P. Y.</w:t>
      </w:r>
      <w:r>
        <w:t xml:space="preserve"> </w:t>
      </w:r>
      <w:r>
        <w:t xml:space="preserve">mHealth app to facilitate remote care for patients with COVID-19: rapid development of the DrCovid+ app</w:t>
      </w:r>
      <w:r>
        <w:t xml:space="preserve">.</w:t>
      </w:r>
      <w:r>
        <w:t xml:space="preserve"> </w:t>
      </w:r>
      <w:r>
        <w:t xml:space="preserve">JMIR</w:t>
      </w:r>
      <w:r>
        <w:t xml:space="preserve"> </w:t>
      </w:r>
      <w:r>
        <w:t xml:space="preserve">Formative Research [Internet]. 2023; Available from:</w:t>
      </w:r>
      <w:r>
        <w:t xml:space="preserve"> </w:t>
      </w:r>
      <w:hyperlink r:id="rId306">
        <w:r>
          <w:rPr>
            <w:rStyle w:val="Hyperlink"/>
          </w:rPr>
          <w:t xml:space="preserve">https://formative.jmir.org/2023/1/e38555</w:t>
        </w:r>
      </w:hyperlink>
    </w:p>
    <w:bookmarkEnd w:id="307"/>
    <w:bookmarkStart w:id="309" w:name="ref-precedence2024"/>
    <w:p>
      <w:pPr>
        <w:pStyle w:val="Bibliography"/>
      </w:pPr>
      <w:r>
        <w:t xml:space="preserve">105.</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308">
        <w:r>
          <w:rPr>
            <w:rStyle w:val="Hyperlink"/>
          </w:rPr>
          <w:t xml:space="preserve">https://www.precedenceresearch.com/healthcare-analytics-market</w:t>
        </w:r>
      </w:hyperlink>
    </w:p>
    <w:bookmarkEnd w:id="309"/>
    <w:bookmarkStart w:id="311" w:name="ref-farnese2019"/>
    <w:p>
      <w:pPr>
        <w:pStyle w:val="Bibliography"/>
      </w:pPr>
      <w:r>
        <w:t xml:space="preserve">106.</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310">
        <w:r>
          <w:rPr>
            <w:rStyle w:val="Hyperlink"/>
          </w:rPr>
          <w:t xml:space="preserve">https://www.frontiersin.org/articles/10.3389/fpsyg.2019.02730</w:t>
        </w:r>
      </w:hyperlink>
    </w:p>
    <w:bookmarkEnd w:id="311"/>
    <w:bookmarkStart w:id="313" w:name="ref-zhang2025"/>
    <w:p>
      <w:pPr>
        <w:pStyle w:val="Bibliography"/>
      </w:pPr>
      <w:r>
        <w:t xml:space="preserve">107.</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312">
        <w:r>
          <w:rPr>
            <w:rStyle w:val="Hyperlink"/>
          </w:rPr>
          <w:t xml:space="preserve">https://www.emerald.com/insight/content/doi/10.1108/JKM-03-2024-0262/full/html</w:t>
        </w:r>
      </w:hyperlink>
    </w:p>
    <w:bookmarkEnd w:id="313"/>
    <w:bookmarkStart w:id="315" w:name="ref-gal2019"/>
    <w:p>
      <w:pPr>
        <w:pStyle w:val="Bibliography"/>
      </w:pPr>
      <w:r>
        <w:t xml:space="preserve">108.</w:t>
      </w:r>
      <w:r>
        <w:t xml:space="preserve"> </w:t>
      </w:r>
      <w:r>
        <w:t xml:space="preserve">	</w:t>
      </w:r>
      <w:r>
        <w:t xml:space="preserve">Gal &amp;R M. S.</w:t>
      </w:r>
      <w:r>
        <w:t xml:space="preserve"> </w:t>
      </w:r>
      <w:r>
        <w:t xml:space="preserve">Data standardization</w:t>
      </w:r>
      <w:r>
        <w:t xml:space="preserve">. New York University Law Review [Internet]. 2019; Available from:</w:t>
      </w:r>
      <w:r>
        <w:t xml:space="preserve"> </w:t>
      </w:r>
      <w:hyperlink r:id="rId314">
        <w:r>
          <w:rPr>
            <w:rStyle w:val="Hyperlink"/>
          </w:rPr>
          <w:t xml:space="preserve">https://www.nyulawreview.org/issues/volume-94-number-4/data-standardization/</w:t>
        </w:r>
      </w:hyperlink>
    </w:p>
    <w:bookmarkEnd w:id="315"/>
    <w:bookmarkStart w:id="317" w:name="ref-zheng2020"/>
    <w:p>
      <w:pPr>
        <w:pStyle w:val="Bibliography"/>
      </w:pPr>
      <w:r>
        <w:t xml:space="preserve">109.</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16">
        <w:r>
          <w:rPr>
            <w:rStyle w:val="Hyperlink"/>
          </w:rPr>
          <w:t xml:space="preserve">https://www.acpjournals.org/doi/10.7326/M19-0871</w:t>
        </w:r>
      </w:hyperlink>
    </w:p>
    <w:bookmarkEnd w:id="317"/>
    <w:bookmarkStart w:id="319" w:name="ref-bogaert2021"/>
    <w:p>
      <w:pPr>
        <w:pStyle w:val="Bibliography"/>
      </w:pPr>
      <w:r>
        <w:t xml:space="preserve">110.</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18">
        <w:r>
          <w:rPr>
            <w:rStyle w:val="Hyperlink"/>
          </w:rPr>
          <w:t xml:space="preserve">https://www.sciencedirect.com/science/article/pii/S0168851021002396</w:t>
        </w:r>
      </w:hyperlink>
    </w:p>
    <w:bookmarkEnd w:id="319"/>
    <w:bookmarkStart w:id="321" w:name="ref-ibm2022"/>
    <w:p>
      <w:pPr>
        <w:pStyle w:val="Bibliography"/>
      </w:pPr>
      <w:r>
        <w:t xml:space="preserve">111.</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320">
        <w:r>
          <w:rPr>
            <w:rStyle w:val="Hyperlink"/>
          </w:rPr>
          <w:t xml:space="preserve">https://newsroom.ibm.com/2022-01-21-Francisco-Partners-to-Acquire-IBMs-Healthcare-Data-and-Analytics-Assets</w:t>
        </w:r>
      </w:hyperlink>
    </w:p>
    <w:bookmarkEnd w:id="321"/>
    <w:bookmarkStart w:id="323" w:name="ref-strickland2019"/>
    <w:p>
      <w:pPr>
        <w:pStyle w:val="Bibliography"/>
      </w:pPr>
      <w:r>
        <w:t xml:space="preserve">112.</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22">
        <w:r>
          <w:rPr>
            <w:rStyle w:val="Hyperlink"/>
          </w:rPr>
          <w:t xml:space="preserve">https://ieeexplore.ieee.org/abstract/document/8678513/</w:t>
        </w:r>
      </w:hyperlink>
    </w:p>
    <w:bookmarkEnd w:id="323"/>
    <w:bookmarkStart w:id="325" w:name="ref-yang2020"/>
    <w:p>
      <w:pPr>
        <w:pStyle w:val="Bibliography"/>
      </w:pPr>
      <w:r>
        <w:t xml:space="preserve">113.</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24">
        <w:r>
          <w:rPr>
            <w:rStyle w:val="Hyperlink"/>
          </w:rPr>
          <w:t xml:space="preserve">https://oulurepo.oulu.fi/bitstream/handle/10024/27921/nbnfi-fe2020050424858.pdf</w:t>
        </w:r>
      </w:hyperlink>
    </w:p>
    <w:bookmarkEnd w:id="325"/>
    <w:bookmarkStart w:id="327" w:name="ref-lavito2021"/>
    <w:p>
      <w:pPr>
        <w:pStyle w:val="Bibliography"/>
      </w:pPr>
      <w:r>
        <w:t xml:space="preserve">114.</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326">
        <w:r>
          <w:rPr>
            <w:rStyle w:val="Hyperlink"/>
          </w:rPr>
          <w:t xml:space="preserve">https://www.cnbc.com/2021/01/04/haven-the-amazon-berkshire-jpmorgan-venture-to-disrupt-healthcare-is-disbanding-after-3-years.html</w:t>
        </w:r>
      </w:hyperlink>
    </w:p>
    <w:bookmarkEnd w:id="327"/>
    <w:bookmarkStart w:id="329" w:name="ref-acchiardo2021"/>
    <w:p>
      <w:pPr>
        <w:pStyle w:val="Bibliography"/>
      </w:pPr>
      <w:r>
        <w:t xml:space="preserve">115.</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28">
        <w:r>
          <w:rPr>
            <w:rStyle w:val="Hyperlink"/>
          </w:rPr>
          <w:t xml:space="preserve">https://www.academicradiology.org/article/S1076-6332(21)00140-9/abstract</w:t>
        </w:r>
      </w:hyperlink>
    </w:p>
    <w:bookmarkEnd w:id="329"/>
    <w:bookmarkStart w:id="331" w:name="ref-ozalp2022"/>
    <w:p>
      <w:pPr>
        <w:pStyle w:val="Bibliography"/>
      </w:pPr>
      <w:r>
        <w:t xml:space="preserve">116.</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30">
        <w:r>
          <w:rPr>
            <w:rStyle w:val="Hyperlink"/>
          </w:rPr>
          <w:t xml:space="preserve">https://journals.sagepub.com/doi/abs/10.1177/00081256221094307</w:t>
        </w:r>
      </w:hyperlink>
    </w:p>
    <w:bookmarkEnd w:id="331"/>
    <w:bookmarkEnd w:id="332"/>
    <w:bookmarkEnd w:id="333"/>
    <w:bookmarkEnd w:id="334"/>
    <w:bookmarkEnd w:id="3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79" Target="https://academic.oup.com/jamia/article-abstract/26/4/294/5308980" TargetMode="External" /><Relationship Type="http://schemas.openxmlformats.org/officeDocument/2006/relationships/hyperlink" Id="rId147" Target="https://academic.oup.com/jamia/article/14/6/687/750453" TargetMode="External" /><Relationship Type="http://schemas.openxmlformats.org/officeDocument/2006/relationships/hyperlink" Id="rId153" Target="https://academic.oup.com/jpubhealth" TargetMode="External" /><Relationship Type="http://schemas.openxmlformats.org/officeDocument/2006/relationships/hyperlink" Id="rId282" Target="https://ai.jmir.org/2023/1/e44358" TargetMode="External" /><Relationship Type="http://schemas.openxmlformats.org/officeDocument/2006/relationships/hyperlink" Id="rId159" Target="https://ai.nejm.org/doi/full/10.1056/AIdbp2500144" TargetMode="External" /><Relationship Type="http://schemas.openxmlformats.org/officeDocument/2006/relationships/hyperlink" Id="rId177" Target="https://al-kindipublishers.org/index.php/jcsts/article/view/8823" TargetMode="External" /><Relationship Type="http://schemas.openxmlformats.org/officeDocument/2006/relationships/hyperlink" Id="rId167" Target="https://arxiv.org/abs/1908.01839" TargetMode="External" /><Relationship Type="http://schemas.openxmlformats.org/officeDocument/2006/relationships/hyperlink" Id="rId169" Target="https://arxiv.org/abs/2301.07695" TargetMode="External" /><Relationship Type="http://schemas.openxmlformats.org/officeDocument/2006/relationships/hyperlink" Id="rId149" Target="https://arxiv.org/abs/2403.09226" TargetMode="External" /><Relationship Type="http://schemas.openxmlformats.org/officeDocument/2006/relationships/hyperlink" Id="rId171" Target="https://arxiv.org/abs/2411.05521" TargetMode="External" /><Relationship Type="http://schemas.openxmlformats.org/officeDocument/2006/relationships/hyperlink" Id="rId157" Target="https://arxiv.org/abs/2505.08775" TargetMode="External" /><Relationship Type="http://schemas.openxmlformats.org/officeDocument/2006/relationships/hyperlink" Id="rId155" Target="https://arxiv.org/abs/2508.08224" TargetMode="External" /><Relationship Type="http://schemas.openxmlformats.org/officeDocument/2006/relationships/hyperlink" Id="rId183" Target="https://arxiv.org/abs/2511.14718" TargetMode="External" /><Relationship Type="http://schemas.openxmlformats.org/officeDocument/2006/relationships/hyperlink" Id="rId173" Target="https://arxiv.org/abs/2511.17559" TargetMode="External" /><Relationship Type="http://schemas.openxmlformats.org/officeDocument/2006/relationships/hyperlink" Id="rId121" Target="https://dl.acm.org/doi/10.1145/1017114.1017118" TargetMode="External" /><Relationship Type="http://schemas.openxmlformats.org/officeDocument/2006/relationships/hyperlink" Id="rId131" Target="https://dl.acm.org/doi/abs/10.1145/320251.320253" TargetMode="External" /><Relationship Type="http://schemas.openxmlformats.org/officeDocument/2006/relationships/hyperlink" Id="rId185" Target="https://dl.acm.org/doi/abs/10.1145/3318464.3389777" TargetMode="External" /><Relationship Type="http://schemas.openxmlformats.org/officeDocument/2006/relationships/hyperlink" Id="rId145" Target="https://doi.org/10.1016/j.ijinfomgt.2003.12.012" TargetMode="External" /><Relationship Type="http://schemas.openxmlformats.org/officeDocument/2006/relationships/hyperlink" Id="rId219" Target="https://doi.org/10.1016/j.ijinfomgt.2018.07.001" TargetMode="External" /><Relationship Type="http://schemas.openxmlformats.org/officeDocument/2006/relationships/hyperlink" Id="rId240" Target="https://doi.org/10.1108/JKM-08-2016-0338" TargetMode="External" /><Relationship Type="http://schemas.openxmlformats.org/officeDocument/2006/relationships/hyperlink" Id="rId151" Target="https://dspace.flinders.edu.au/jspui/bitstream/2328/3326/4/AACODS_Checklist.pdf" TargetMode="External" /><Relationship Type="http://schemas.openxmlformats.org/officeDocument/2006/relationships/hyperlink" Id="rId306" Target="https://formative.jmir.org/2023/1/e38555" TargetMode="External" /><Relationship Type="http://schemas.openxmlformats.org/officeDocument/2006/relationships/hyperlink" Id="rId304" Target="https://gisrrj.com/paper/GISRRJ236426.pdf" TargetMode="External" /><Relationship Type="http://schemas.openxmlformats.org/officeDocument/2006/relationships/hyperlink" Id="rId250" Target="https://human-resources-health.biomedcentral.com/articles/10.1186/1478-4491-11-35" TargetMode="External" /><Relationship Type="http://schemas.openxmlformats.org/officeDocument/2006/relationships/hyperlink" Id="rId262" Target="https://human-resources-health.biomedcentral.com/articles/10.1186/s12960-019-0432-y" TargetMode="External" /><Relationship Type="http://schemas.openxmlformats.org/officeDocument/2006/relationships/hyperlink" Id="rId290" Target="https://ia.berkshirehealthcare.nhs.uk/citizen-developer-programme" TargetMode="External" /><Relationship Type="http://schemas.openxmlformats.org/officeDocument/2006/relationships/hyperlink" Id="rId292" Target="https://ieeexplore.ieee.org/abstract/document/10373712/" TargetMode="External" /><Relationship Type="http://schemas.openxmlformats.org/officeDocument/2006/relationships/hyperlink" Id="rId322" Target="https://ieeexplore.ieee.org/abstract/document/8678513/" TargetMode="External" /><Relationship Type="http://schemas.openxmlformats.org/officeDocument/2006/relationships/hyperlink" Id="rId294" Target="https://ieeexplore.ieee.org/document/10186753" TargetMode="External" /><Relationship Type="http://schemas.openxmlformats.org/officeDocument/2006/relationships/hyperlink" Id="rId286" Target="https://ieeexplore.ieee.org/document/10297311" TargetMode="External" /><Relationship Type="http://schemas.openxmlformats.org/officeDocument/2006/relationships/hyperlink" Id="rId300" Target="https://imjstb.com/index.php/Journal/article/view/95" TargetMode="External" /><Relationship Type="http://schemas.openxmlformats.org/officeDocument/2006/relationships/hyperlink" Id="rId137" Target="https://jamanetwork.com/journals/jamainternalmedicine/fullarticle/2809588" TargetMode="External" /><Relationship Type="http://schemas.openxmlformats.org/officeDocument/2006/relationships/hyperlink" Id="rId246" Target="https://jamanetwork.com/journals/jamanetworkopen/fullarticle/2784810" TargetMode="External" /><Relationship Type="http://schemas.openxmlformats.org/officeDocument/2006/relationships/hyperlink" Id="rId276" Target="https://journalofbigdata.springeropen.com/articles/10.1186/s40537-019-0170-y" TargetMode="External" /><Relationship Type="http://schemas.openxmlformats.org/officeDocument/2006/relationships/hyperlink" Id="rId242" Target="https://journals.lww.com/jonajournal/abstract/2005/01000/the_costs_of_nurse_turnover__part_2__application.14.aspx" TargetMode="External" /><Relationship Type="http://schemas.openxmlformats.org/officeDocument/2006/relationships/hyperlink" Id="rId330" Target="https://journals.sagepub.com/doi/abs/10.1177/00081256221094307" TargetMode="External" /><Relationship Type="http://schemas.openxmlformats.org/officeDocument/2006/relationships/hyperlink" Id="rId203" Target="https://journals.sagepub.com/doi/full/10.1177/23743735241253785" TargetMode="External" /><Relationship Type="http://schemas.openxmlformats.org/officeDocument/2006/relationships/hyperlink" Id="rId197" Target="https://legacy.himss.org/news/new-analytics-maturity-adoption-model-pushes-digital-transformation-and-data-driven-decisions" TargetMode="External" /><Relationship Type="http://schemas.openxmlformats.org/officeDocument/2006/relationships/hyperlink" Id="rId193" Target="https://link.springer.com/article/10.1007/s10489-023-04567-2" TargetMode="External" /><Relationship Type="http://schemas.openxmlformats.org/officeDocument/2006/relationships/hyperlink" Id="rId143" Target="https://link.springer.com/article/10.1007/s10916-011-9656-7" TargetMode="External" /><Relationship Type="http://schemas.openxmlformats.org/officeDocument/2006/relationships/hyperlink" Id="rId127" Target="https://link.springer.com/article/10.1007/s10916-020-01665-9" TargetMode="External" /><Relationship Type="http://schemas.openxmlformats.org/officeDocument/2006/relationships/hyperlink" Id="rId302" Target="https://mds.marshall.edu/etd/1824/" TargetMode="External" /><Relationship Type="http://schemas.openxmlformats.org/officeDocument/2006/relationships/hyperlink" Id="rId189" Target="https://medinform.jmir.org/2019/2/e13331" TargetMode="External" /><Relationship Type="http://schemas.openxmlformats.org/officeDocument/2006/relationships/hyperlink" Id="rId284" Target="https://medinform.jmir.org/2022/2/e32875" TargetMode="External" /><Relationship Type="http://schemas.openxmlformats.org/officeDocument/2006/relationships/hyperlink" Id="rId320" Target="https://newsroom.ibm.com/2022-01-21-Francisco-Partners-to-Acquire-IBMs-Healthcare-Data-and-Analytics-Assets" TargetMode="External" /><Relationship Type="http://schemas.openxmlformats.org/officeDocument/2006/relationships/hyperlink" Id="rId205" Target="https://onlinelibrary.wiley.com/doi/abs/10.1111/1467-8551.12332" TargetMode="External" /><Relationship Type="http://schemas.openxmlformats.org/officeDocument/2006/relationships/hyperlink" Id="rId268" Target="https://onlinelibrary.wiley.com/doi/abs/10.1111/j.1540-5885.2010.00798.x" TargetMode="External" /><Relationship Type="http://schemas.openxmlformats.org/officeDocument/2006/relationships/hyperlink" Id="rId260" Target="https://onlinelibrary.wiley.com/doi/abs/10.1111/j.1547-5069.2009.01319.x" TargetMode="External" /><Relationship Type="http://schemas.openxmlformats.org/officeDocument/2006/relationships/hyperlink" Id="rId324" Target="https://oulurepo.oulu.fi/bitstream/handle/10024/27921/nbnfi-fe2020050424858.pdf" TargetMode="External" /><Relationship Type="http://schemas.openxmlformats.org/officeDocument/2006/relationships/hyperlink" Id="rId135" Target="https://papers.ssrn.com/sol3/papers.cfm?abstract_id=5268176" TargetMode="External" /><Relationship Type="http://schemas.openxmlformats.org/officeDocument/2006/relationships/hyperlink" Id="rId254" Target="https://pmc.ncbi.nlm.nih.gov/articles/PMC10243608/" TargetMode="External" /><Relationship Type="http://schemas.openxmlformats.org/officeDocument/2006/relationships/hyperlink" Id="rId236" Target="https://pmc.ncbi.nlm.nih.gov/articles/PMC10802134/" TargetMode="External" /><Relationship Type="http://schemas.openxmlformats.org/officeDocument/2006/relationships/hyperlink" Id="rId238" Target="https://pmc.ncbi.nlm.nih.gov/articles/PMC11919231/" TargetMode="External" /><Relationship Type="http://schemas.openxmlformats.org/officeDocument/2006/relationships/hyperlink" Id="rId141" Target="https://publishing.emanresearch.org/index.php/bej/article/view/1136" TargetMode="External" /><Relationship Type="http://schemas.openxmlformats.org/officeDocument/2006/relationships/hyperlink" Id="rId252" Target="https://pubmed.ncbi.nlm.nih.gov/20054502/" TargetMode="External" /><Relationship Type="http://schemas.openxmlformats.org/officeDocument/2006/relationships/hyperlink" Id="rId288" Target="https://pubsonline.informs.org/doi/abs/10.1287/educ.2023.0257" TargetMode="External" /><Relationship Type="http://schemas.openxmlformats.org/officeDocument/2006/relationships/hyperlink" Id="rId129" Target="https://resources.anthropic.com/code-modernization-playbook" TargetMode="External" /><Relationship Type="http://schemas.openxmlformats.org/officeDocument/2006/relationships/hyperlink" Id="rId195" Target="https://sarcouncil.com/2025/06/ai-driven-mainframe-modernization-unlocking-legacy-data-for-cloud-analytics" TargetMode="External" /><Relationship Type="http://schemas.openxmlformats.org/officeDocument/2006/relationships/hyperlink" Id="rId298" Target="https://sarcouncil.com/download-article/SJECS-209-_2025-630-636.pdf" TargetMode="External" /><Relationship Type="http://schemas.openxmlformats.org/officeDocument/2006/relationships/hyperlink" Id="rId211" Target="https://scholarworks.waldenu.edu/cgi/viewcontent.cgi?article=12395&amp;context=dissertations" TargetMode="External" /><Relationship Type="http://schemas.openxmlformats.org/officeDocument/2006/relationships/hyperlink" Id="rId296" Target="https://tei.forrester.com/go/microsoft/powerappstei/?lang=en-us" TargetMode="External" /><Relationship Type="http://schemas.openxmlformats.org/officeDocument/2006/relationships/hyperlink" Id="rId328" Target="https://www.academicradiology.org/article/S1076-6332(21)00140-9/abstract" TargetMode="External" /><Relationship Type="http://schemas.openxmlformats.org/officeDocument/2006/relationships/hyperlink" Id="rId316" Target="https://www.acpjournals.org/doi/10.7326/M19-0871" TargetMode="External" /><Relationship Type="http://schemas.openxmlformats.org/officeDocument/2006/relationships/hyperlink" Id="rId115" Target="https://www.ahima.org/news-publications/press-room-press-releases/2023-press-releases/health-information-workforce-shortages-persist-as-ai-shows-promise-ahima-survey-reveals/" TargetMode="External" /><Relationship Type="http://schemas.openxmlformats.org/officeDocument/2006/relationships/hyperlink" Id="rId133" Target="https://www.allmultidisciplinaryjournal.com/uploads/archives/20250306182550_MGE-2025-2-018.1.pdf" TargetMode="External" /><Relationship Type="http://schemas.openxmlformats.org/officeDocument/2006/relationships/hyperlink" Id="rId244" Target="https://www.annfammed.org/content/17/1/36" TargetMode="External" /><Relationship Type="http://schemas.openxmlformats.org/officeDocument/2006/relationships/hyperlink" Id="rId326" Target="https://www.cnbc.com/2021/01/04/haven-the-amazon-berkshire-jpmorgan-venture-to-disrupt-healthcare-is-disbanding-after-3-years.html" TargetMode="External" /><Relationship Type="http://schemas.openxmlformats.org/officeDocument/2006/relationships/hyperlink" Id="rId256" Target="https://www.diva-portal.org/smash/record.jsf?pid=diva2:1684142" TargetMode="External" /><Relationship Type="http://schemas.openxmlformats.org/officeDocument/2006/relationships/hyperlink" Id="rId264" Target="https://www.emerald.com/insight/content/doi/10.1108/13660750510611198/full/html" TargetMode="External" /><Relationship Type="http://schemas.openxmlformats.org/officeDocument/2006/relationships/hyperlink" Id="rId270" Target="https://www.emerald.com/insight/content/doi/10.1108/13673270610650067/full/html" TargetMode="External" /><Relationship Type="http://schemas.openxmlformats.org/officeDocument/2006/relationships/hyperlink" Id="rId312" Target="https://www.emerald.com/insight/content/doi/10.1108/JKM-03-2024-0262/full/html" TargetMode="External" /><Relationship Type="http://schemas.openxmlformats.org/officeDocument/2006/relationships/hyperlink" Id="rId191" Target="https://www.frontiersin.org/articles/10.3389/fdata.2024.1371680" TargetMode="External" /><Relationship Type="http://schemas.openxmlformats.org/officeDocument/2006/relationships/hyperlink" Id="rId310" Target="https://www.frontiersin.org/articles/10.3389/fpsyg.2019.02730" TargetMode="External" /><Relationship Type="http://schemas.openxmlformats.org/officeDocument/2006/relationships/hyperlink" Id="rId125" Target="https://www.health.org.uk/publications/understanding-analytical-capability-in-health-care" TargetMode="External" /><Relationship Type="http://schemas.openxmlformats.org/officeDocument/2006/relationships/hyperlink" Id="rId119" Target="https://www.healthcareitnews.com/news/asia/himss-launches-modernised-analytics-maturity-assessment-model" TargetMode="External" /><Relationship Type="http://schemas.openxmlformats.org/officeDocument/2006/relationships/hyperlink" Id="rId217" Target="https://www.healthcatalyst.com/learn/insights/healthcare-analytics-adoption-model-roadmap-analytic-maturity" TargetMode="External" /><Relationship Type="http://schemas.openxmlformats.org/officeDocument/2006/relationships/hyperlink" Id="rId117" Target="https://www.himss.org/maturity-models/amam/" TargetMode="External" /><Relationship Type="http://schemas.openxmlformats.org/officeDocument/2006/relationships/hyperlink" Id="rId274" Target="https://www.inderscienceonline.com/doi/abs/10.1504/IJNKM.2006.009880" TargetMode="External" /><Relationship Type="http://schemas.openxmlformats.org/officeDocument/2006/relationships/hyperlink" Id="rId139" Target="https://www.ingentaconnect.com/content/hsp/mih/2024/00000008/00000004/art00006" TargetMode="External" /><Relationship Type="http://schemas.openxmlformats.org/officeDocument/2006/relationships/hyperlink" Id="rId278" Target="https://www.jmir.org/2020/10/e20346/" TargetMode="External" /><Relationship Type="http://schemas.openxmlformats.org/officeDocument/2006/relationships/hyperlink" Id="rId201" Target="https://www.jmir.org/2024/1/e56316" TargetMode="External" /><Relationship Type="http://schemas.openxmlformats.org/officeDocument/2006/relationships/hyperlink" Id="rId258" Target="https://www.mdpi.com/1660-4601/17/12/4267" TargetMode="External" /><Relationship Type="http://schemas.openxmlformats.org/officeDocument/2006/relationships/hyperlink" Id="rId207" Target="https://www.mdpi.com/2227-9032/13/1/1" TargetMode="External" /><Relationship Type="http://schemas.openxmlformats.org/officeDocument/2006/relationships/hyperlink" Id="rId163" Target="https://www.mdpi.com/2504-2289/9/10/256" TargetMode="External" /><Relationship Type="http://schemas.openxmlformats.org/officeDocument/2006/relationships/hyperlink" Id="rId213" Target="https://www.nature.com/articles/s41746-019-0118-9" TargetMode="External" /><Relationship Type="http://schemas.openxmlformats.org/officeDocument/2006/relationships/hyperlink" Id="rId161" Target="https://www.nature.com/articles/s41746-024-01390-4" TargetMode="External" /><Relationship Type="http://schemas.openxmlformats.org/officeDocument/2006/relationships/hyperlink" Id="rId314" Target="https://www.nyulawreview.org/issues/volume-94-number-4/data-standardization/" TargetMode="External" /><Relationship Type="http://schemas.openxmlformats.org/officeDocument/2006/relationships/hyperlink" Id="rId248" Target="https://www.oracle.com/human-capital-management/cost-employee-turnover-healthcare/" TargetMode="External" /><Relationship Type="http://schemas.openxmlformats.org/officeDocument/2006/relationships/hyperlink" Id="rId308" Target="https://www.precedenceresearch.com/healthcare-analytics-market" TargetMode="External" /><Relationship Type="http://schemas.openxmlformats.org/officeDocument/2006/relationships/hyperlink" Id="rId266" Target="https://www.redjournal.org/article/S0360-3016(16)00260-1/fulltext" TargetMode="External" /><Relationship Type="http://schemas.openxmlformats.org/officeDocument/2006/relationships/hyperlink" Id="rId199" Target="https://www.sciencedirect.com/science/article/abs/pii/S0148296316304891" TargetMode="External" /><Relationship Type="http://schemas.openxmlformats.org/officeDocument/2006/relationships/hyperlink" Id="rId175" Target="https://www.sciencedirect.com/science/article/pii/S0031320324008197" TargetMode="External" /><Relationship Type="http://schemas.openxmlformats.org/officeDocument/2006/relationships/hyperlink" Id="rId123" Target="https://www.sciencedirect.com/science/article/pii/S0040162515003692" TargetMode="External" /><Relationship Type="http://schemas.openxmlformats.org/officeDocument/2006/relationships/hyperlink" Id="rId318" Target="https://www.sciencedirect.com/science/article/pii/S0168851021002396" TargetMode="External" /><Relationship Type="http://schemas.openxmlformats.org/officeDocument/2006/relationships/hyperlink" Id="rId280" Target="https://www.sciencedirect.com/science/article/pii/S1386505623001296" TargetMode="External" /><Relationship Type="http://schemas.openxmlformats.org/officeDocument/2006/relationships/hyperlink" Id="rId165" Target="https://www.sciencedirect.com/science/article/pii/S1386505623001405" TargetMode="External" /><Relationship Type="http://schemas.openxmlformats.org/officeDocument/2006/relationships/hyperlink" Id="rId209" Target="https://www.sciencedirect.com/science/article/pii/S1386505624001916" TargetMode="External" /><Relationship Type="http://schemas.openxmlformats.org/officeDocument/2006/relationships/hyperlink" Id="rId187" Target="https://www.sciencedirect.com/science/article/pii/S1532046414001592" TargetMode="External" /><Relationship Type="http://schemas.openxmlformats.org/officeDocument/2006/relationships/hyperlink" Id="rId181" Target="https://www.sciencedirect.com/science/article/pii/S1532046424000650" TargetMode="External" /><Relationship Type="http://schemas.openxmlformats.org/officeDocument/2006/relationships/hyperlink" Id="rId272" Target="https://www.tandfonline.com/doi/abs/10.1080/08956308.2010.11657637" TargetMode="External" /><Relationship Type="http://schemas.openxmlformats.org/officeDocument/2006/relationships/hyperlink" Id="rId215" Target="https://www.tandfonline.com/doi/full/10.1080/20479700.2018.1531606" TargetMode="External" /></Relationships>
</file>

<file path=word/_rels/footnotes.xml.rels><?xml version="1.0" encoding="UTF-8"?><Relationships xmlns="http://schemas.openxmlformats.org/package/2006/relationships"><Relationship Type="http://schemas.openxmlformats.org/officeDocument/2006/relationships/hyperlink" Id="rId179" Target="https://academic.oup.com/jamia/article-abstract/26/4/294/5308980" TargetMode="External" /><Relationship Type="http://schemas.openxmlformats.org/officeDocument/2006/relationships/hyperlink" Id="rId147" Target="https://academic.oup.com/jamia/article/14/6/687/750453" TargetMode="External" /><Relationship Type="http://schemas.openxmlformats.org/officeDocument/2006/relationships/hyperlink" Id="rId153" Target="https://academic.oup.com/jpubhealth" TargetMode="External" /><Relationship Type="http://schemas.openxmlformats.org/officeDocument/2006/relationships/hyperlink" Id="rId282" Target="https://ai.jmir.org/2023/1/e44358" TargetMode="External" /><Relationship Type="http://schemas.openxmlformats.org/officeDocument/2006/relationships/hyperlink" Id="rId159" Target="https://ai.nejm.org/doi/full/10.1056/AIdbp2500144" TargetMode="External" /><Relationship Type="http://schemas.openxmlformats.org/officeDocument/2006/relationships/hyperlink" Id="rId177" Target="https://al-kindipublishers.org/index.php/jcsts/article/view/8823" TargetMode="External" /><Relationship Type="http://schemas.openxmlformats.org/officeDocument/2006/relationships/hyperlink" Id="rId167" Target="https://arxiv.org/abs/1908.01839" TargetMode="External" /><Relationship Type="http://schemas.openxmlformats.org/officeDocument/2006/relationships/hyperlink" Id="rId169" Target="https://arxiv.org/abs/2301.07695" TargetMode="External" /><Relationship Type="http://schemas.openxmlformats.org/officeDocument/2006/relationships/hyperlink" Id="rId149" Target="https://arxiv.org/abs/2403.09226" TargetMode="External" /><Relationship Type="http://schemas.openxmlformats.org/officeDocument/2006/relationships/hyperlink" Id="rId171" Target="https://arxiv.org/abs/2411.05521" TargetMode="External" /><Relationship Type="http://schemas.openxmlformats.org/officeDocument/2006/relationships/hyperlink" Id="rId157" Target="https://arxiv.org/abs/2505.08775" TargetMode="External" /><Relationship Type="http://schemas.openxmlformats.org/officeDocument/2006/relationships/hyperlink" Id="rId155" Target="https://arxiv.org/abs/2508.08224" TargetMode="External" /><Relationship Type="http://schemas.openxmlformats.org/officeDocument/2006/relationships/hyperlink" Id="rId183" Target="https://arxiv.org/abs/2511.14718" TargetMode="External" /><Relationship Type="http://schemas.openxmlformats.org/officeDocument/2006/relationships/hyperlink" Id="rId173" Target="https://arxiv.org/abs/2511.17559" TargetMode="External" /><Relationship Type="http://schemas.openxmlformats.org/officeDocument/2006/relationships/hyperlink" Id="rId121" Target="https://dl.acm.org/doi/10.1145/1017114.1017118" TargetMode="External" /><Relationship Type="http://schemas.openxmlformats.org/officeDocument/2006/relationships/hyperlink" Id="rId131" Target="https://dl.acm.org/doi/abs/10.1145/320251.320253" TargetMode="External" /><Relationship Type="http://schemas.openxmlformats.org/officeDocument/2006/relationships/hyperlink" Id="rId185" Target="https://dl.acm.org/doi/abs/10.1145/3318464.3389777" TargetMode="External" /><Relationship Type="http://schemas.openxmlformats.org/officeDocument/2006/relationships/hyperlink" Id="rId145" Target="https://doi.org/10.1016/j.ijinfomgt.2003.12.012" TargetMode="External" /><Relationship Type="http://schemas.openxmlformats.org/officeDocument/2006/relationships/hyperlink" Id="rId219" Target="https://doi.org/10.1016/j.ijinfomgt.2018.07.001" TargetMode="External" /><Relationship Type="http://schemas.openxmlformats.org/officeDocument/2006/relationships/hyperlink" Id="rId240" Target="https://doi.org/10.1108/JKM-08-2016-0338" TargetMode="External" /><Relationship Type="http://schemas.openxmlformats.org/officeDocument/2006/relationships/hyperlink" Id="rId151" Target="https://dspace.flinders.edu.au/jspui/bitstream/2328/3326/4/AACODS_Checklist.pdf" TargetMode="External" /><Relationship Type="http://schemas.openxmlformats.org/officeDocument/2006/relationships/hyperlink" Id="rId306" Target="https://formative.jmir.org/2023/1/e38555" TargetMode="External" /><Relationship Type="http://schemas.openxmlformats.org/officeDocument/2006/relationships/hyperlink" Id="rId304" Target="https://gisrrj.com/paper/GISRRJ236426.pdf" TargetMode="External" /><Relationship Type="http://schemas.openxmlformats.org/officeDocument/2006/relationships/hyperlink" Id="rId250" Target="https://human-resources-health.biomedcentral.com/articles/10.1186/1478-4491-11-35" TargetMode="External" /><Relationship Type="http://schemas.openxmlformats.org/officeDocument/2006/relationships/hyperlink" Id="rId262" Target="https://human-resources-health.biomedcentral.com/articles/10.1186/s12960-019-0432-y" TargetMode="External" /><Relationship Type="http://schemas.openxmlformats.org/officeDocument/2006/relationships/hyperlink" Id="rId290" Target="https://ia.berkshirehealthcare.nhs.uk/citizen-developer-programme" TargetMode="External" /><Relationship Type="http://schemas.openxmlformats.org/officeDocument/2006/relationships/hyperlink" Id="rId292" Target="https://ieeexplore.ieee.org/abstract/document/10373712/" TargetMode="External" /><Relationship Type="http://schemas.openxmlformats.org/officeDocument/2006/relationships/hyperlink" Id="rId322" Target="https://ieeexplore.ieee.org/abstract/document/8678513/" TargetMode="External" /><Relationship Type="http://schemas.openxmlformats.org/officeDocument/2006/relationships/hyperlink" Id="rId294" Target="https://ieeexplore.ieee.org/document/10186753" TargetMode="External" /><Relationship Type="http://schemas.openxmlformats.org/officeDocument/2006/relationships/hyperlink" Id="rId286" Target="https://ieeexplore.ieee.org/document/10297311" TargetMode="External" /><Relationship Type="http://schemas.openxmlformats.org/officeDocument/2006/relationships/hyperlink" Id="rId300" Target="https://imjstb.com/index.php/Journal/article/view/95" TargetMode="External" /><Relationship Type="http://schemas.openxmlformats.org/officeDocument/2006/relationships/hyperlink" Id="rId137" Target="https://jamanetwork.com/journals/jamainternalmedicine/fullarticle/2809588" TargetMode="External" /><Relationship Type="http://schemas.openxmlformats.org/officeDocument/2006/relationships/hyperlink" Id="rId246" Target="https://jamanetwork.com/journals/jamanetworkopen/fullarticle/2784810" TargetMode="External" /><Relationship Type="http://schemas.openxmlformats.org/officeDocument/2006/relationships/hyperlink" Id="rId276" Target="https://journalofbigdata.springeropen.com/articles/10.1186/s40537-019-0170-y" TargetMode="External" /><Relationship Type="http://schemas.openxmlformats.org/officeDocument/2006/relationships/hyperlink" Id="rId242" Target="https://journals.lww.com/jonajournal/abstract/2005/01000/the_costs_of_nurse_turnover__part_2__application.14.aspx" TargetMode="External" /><Relationship Type="http://schemas.openxmlformats.org/officeDocument/2006/relationships/hyperlink" Id="rId330" Target="https://journals.sagepub.com/doi/abs/10.1177/00081256221094307" TargetMode="External" /><Relationship Type="http://schemas.openxmlformats.org/officeDocument/2006/relationships/hyperlink" Id="rId203" Target="https://journals.sagepub.com/doi/full/10.1177/23743735241253785" TargetMode="External" /><Relationship Type="http://schemas.openxmlformats.org/officeDocument/2006/relationships/hyperlink" Id="rId197" Target="https://legacy.himss.org/news/new-analytics-maturity-adoption-model-pushes-digital-transformation-and-data-driven-decisions" TargetMode="External" /><Relationship Type="http://schemas.openxmlformats.org/officeDocument/2006/relationships/hyperlink" Id="rId193" Target="https://link.springer.com/article/10.1007/s10489-023-04567-2" TargetMode="External" /><Relationship Type="http://schemas.openxmlformats.org/officeDocument/2006/relationships/hyperlink" Id="rId143" Target="https://link.springer.com/article/10.1007/s10916-011-9656-7" TargetMode="External" /><Relationship Type="http://schemas.openxmlformats.org/officeDocument/2006/relationships/hyperlink" Id="rId127" Target="https://link.springer.com/article/10.1007/s10916-020-01665-9" TargetMode="External" /><Relationship Type="http://schemas.openxmlformats.org/officeDocument/2006/relationships/hyperlink" Id="rId302" Target="https://mds.marshall.edu/etd/1824/" TargetMode="External" /><Relationship Type="http://schemas.openxmlformats.org/officeDocument/2006/relationships/hyperlink" Id="rId189" Target="https://medinform.jmir.org/2019/2/e13331" TargetMode="External" /><Relationship Type="http://schemas.openxmlformats.org/officeDocument/2006/relationships/hyperlink" Id="rId284" Target="https://medinform.jmir.org/2022/2/e32875" TargetMode="External" /><Relationship Type="http://schemas.openxmlformats.org/officeDocument/2006/relationships/hyperlink" Id="rId320" Target="https://newsroom.ibm.com/2022-01-21-Francisco-Partners-to-Acquire-IBMs-Healthcare-Data-and-Analytics-Assets" TargetMode="External" /><Relationship Type="http://schemas.openxmlformats.org/officeDocument/2006/relationships/hyperlink" Id="rId205" Target="https://onlinelibrary.wiley.com/doi/abs/10.1111/1467-8551.12332" TargetMode="External" /><Relationship Type="http://schemas.openxmlformats.org/officeDocument/2006/relationships/hyperlink" Id="rId268" Target="https://onlinelibrary.wiley.com/doi/abs/10.1111/j.1540-5885.2010.00798.x" TargetMode="External" /><Relationship Type="http://schemas.openxmlformats.org/officeDocument/2006/relationships/hyperlink" Id="rId260" Target="https://onlinelibrary.wiley.com/doi/abs/10.1111/j.1547-5069.2009.01319.x" TargetMode="External" /><Relationship Type="http://schemas.openxmlformats.org/officeDocument/2006/relationships/hyperlink" Id="rId324" Target="https://oulurepo.oulu.fi/bitstream/handle/10024/27921/nbnfi-fe2020050424858.pdf" TargetMode="External" /><Relationship Type="http://schemas.openxmlformats.org/officeDocument/2006/relationships/hyperlink" Id="rId135" Target="https://papers.ssrn.com/sol3/papers.cfm?abstract_id=5268176" TargetMode="External" /><Relationship Type="http://schemas.openxmlformats.org/officeDocument/2006/relationships/hyperlink" Id="rId254" Target="https://pmc.ncbi.nlm.nih.gov/articles/PMC10243608/" TargetMode="External" /><Relationship Type="http://schemas.openxmlformats.org/officeDocument/2006/relationships/hyperlink" Id="rId236" Target="https://pmc.ncbi.nlm.nih.gov/articles/PMC10802134/" TargetMode="External" /><Relationship Type="http://schemas.openxmlformats.org/officeDocument/2006/relationships/hyperlink" Id="rId238" Target="https://pmc.ncbi.nlm.nih.gov/articles/PMC11919231/" TargetMode="External" /><Relationship Type="http://schemas.openxmlformats.org/officeDocument/2006/relationships/hyperlink" Id="rId141" Target="https://publishing.emanresearch.org/index.php/bej/article/view/1136" TargetMode="External" /><Relationship Type="http://schemas.openxmlformats.org/officeDocument/2006/relationships/hyperlink" Id="rId252" Target="https://pubmed.ncbi.nlm.nih.gov/20054502/" TargetMode="External" /><Relationship Type="http://schemas.openxmlformats.org/officeDocument/2006/relationships/hyperlink" Id="rId288" Target="https://pubsonline.informs.org/doi/abs/10.1287/educ.2023.0257" TargetMode="External" /><Relationship Type="http://schemas.openxmlformats.org/officeDocument/2006/relationships/hyperlink" Id="rId129" Target="https://resources.anthropic.com/code-modernization-playbook" TargetMode="External" /><Relationship Type="http://schemas.openxmlformats.org/officeDocument/2006/relationships/hyperlink" Id="rId195" Target="https://sarcouncil.com/2025/06/ai-driven-mainframe-modernization-unlocking-legacy-data-for-cloud-analytics" TargetMode="External" /><Relationship Type="http://schemas.openxmlformats.org/officeDocument/2006/relationships/hyperlink" Id="rId298" Target="https://sarcouncil.com/download-article/SJECS-209-_2025-630-636.pdf" TargetMode="External" /><Relationship Type="http://schemas.openxmlformats.org/officeDocument/2006/relationships/hyperlink" Id="rId211" Target="https://scholarworks.waldenu.edu/cgi/viewcontent.cgi?article=12395&amp;context=dissertations" TargetMode="External" /><Relationship Type="http://schemas.openxmlformats.org/officeDocument/2006/relationships/hyperlink" Id="rId296" Target="https://tei.forrester.com/go/microsoft/powerappstei/?lang=en-us" TargetMode="External" /><Relationship Type="http://schemas.openxmlformats.org/officeDocument/2006/relationships/hyperlink" Id="rId328" Target="https://www.academicradiology.org/article/S1076-6332(21)00140-9/abstract" TargetMode="External" /><Relationship Type="http://schemas.openxmlformats.org/officeDocument/2006/relationships/hyperlink" Id="rId316" Target="https://www.acpjournals.org/doi/10.7326/M19-0871" TargetMode="External" /><Relationship Type="http://schemas.openxmlformats.org/officeDocument/2006/relationships/hyperlink" Id="rId115" Target="https://www.ahima.org/news-publications/press-room-press-releases/2023-press-releases/health-information-workforce-shortages-persist-as-ai-shows-promise-ahima-survey-reveals/" TargetMode="External" /><Relationship Type="http://schemas.openxmlformats.org/officeDocument/2006/relationships/hyperlink" Id="rId133" Target="https://www.allmultidisciplinaryjournal.com/uploads/archives/20250306182550_MGE-2025-2-018.1.pdf" TargetMode="External" /><Relationship Type="http://schemas.openxmlformats.org/officeDocument/2006/relationships/hyperlink" Id="rId244" Target="https://www.annfammed.org/content/17/1/36" TargetMode="External" /><Relationship Type="http://schemas.openxmlformats.org/officeDocument/2006/relationships/hyperlink" Id="rId326" Target="https://www.cnbc.com/2021/01/04/haven-the-amazon-berkshire-jpmorgan-venture-to-disrupt-healthcare-is-disbanding-after-3-years.html" TargetMode="External" /><Relationship Type="http://schemas.openxmlformats.org/officeDocument/2006/relationships/hyperlink" Id="rId256" Target="https://www.diva-portal.org/smash/record.jsf?pid=diva2:1684142" TargetMode="External" /><Relationship Type="http://schemas.openxmlformats.org/officeDocument/2006/relationships/hyperlink" Id="rId264" Target="https://www.emerald.com/insight/content/doi/10.1108/13660750510611198/full/html" TargetMode="External" /><Relationship Type="http://schemas.openxmlformats.org/officeDocument/2006/relationships/hyperlink" Id="rId270" Target="https://www.emerald.com/insight/content/doi/10.1108/13673270610650067/full/html" TargetMode="External" /><Relationship Type="http://schemas.openxmlformats.org/officeDocument/2006/relationships/hyperlink" Id="rId312" Target="https://www.emerald.com/insight/content/doi/10.1108/JKM-03-2024-0262/full/html" TargetMode="External" /><Relationship Type="http://schemas.openxmlformats.org/officeDocument/2006/relationships/hyperlink" Id="rId191" Target="https://www.frontiersin.org/articles/10.3389/fdata.2024.1371680" TargetMode="External" /><Relationship Type="http://schemas.openxmlformats.org/officeDocument/2006/relationships/hyperlink" Id="rId310" Target="https://www.frontiersin.org/articles/10.3389/fpsyg.2019.02730" TargetMode="External" /><Relationship Type="http://schemas.openxmlformats.org/officeDocument/2006/relationships/hyperlink" Id="rId125" Target="https://www.health.org.uk/publications/understanding-analytical-capability-in-health-care" TargetMode="External" /><Relationship Type="http://schemas.openxmlformats.org/officeDocument/2006/relationships/hyperlink" Id="rId119" Target="https://www.healthcareitnews.com/news/asia/himss-launches-modernised-analytics-maturity-assessment-model" TargetMode="External" /><Relationship Type="http://schemas.openxmlformats.org/officeDocument/2006/relationships/hyperlink" Id="rId217" Target="https://www.healthcatalyst.com/learn/insights/healthcare-analytics-adoption-model-roadmap-analytic-maturity" TargetMode="External" /><Relationship Type="http://schemas.openxmlformats.org/officeDocument/2006/relationships/hyperlink" Id="rId117" Target="https://www.himss.org/maturity-models/amam/" TargetMode="External" /><Relationship Type="http://schemas.openxmlformats.org/officeDocument/2006/relationships/hyperlink" Id="rId274" Target="https://www.inderscienceonline.com/doi/abs/10.1504/IJNKM.2006.009880" TargetMode="External" /><Relationship Type="http://schemas.openxmlformats.org/officeDocument/2006/relationships/hyperlink" Id="rId139" Target="https://www.ingentaconnect.com/content/hsp/mih/2024/00000008/00000004/art00006" TargetMode="External" /><Relationship Type="http://schemas.openxmlformats.org/officeDocument/2006/relationships/hyperlink" Id="rId278" Target="https://www.jmir.org/2020/10/e20346/" TargetMode="External" /><Relationship Type="http://schemas.openxmlformats.org/officeDocument/2006/relationships/hyperlink" Id="rId201" Target="https://www.jmir.org/2024/1/e56316" TargetMode="External" /><Relationship Type="http://schemas.openxmlformats.org/officeDocument/2006/relationships/hyperlink" Id="rId258" Target="https://www.mdpi.com/1660-4601/17/12/4267" TargetMode="External" /><Relationship Type="http://schemas.openxmlformats.org/officeDocument/2006/relationships/hyperlink" Id="rId207" Target="https://www.mdpi.com/2227-9032/13/1/1" TargetMode="External" /><Relationship Type="http://schemas.openxmlformats.org/officeDocument/2006/relationships/hyperlink" Id="rId163" Target="https://www.mdpi.com/2504-2289/9/10/256" TargetMode="External" /><Relationship Type="http://schemas.openxmlformats.org/officeDocument/2006/relationships/hyperlink" Id="rId213" Target="https://www.nature.com/articles/s41746-019-0118-9" TargetMode="External" /><Relationship Type="http://schemas.openxmlformats.org/officeDocument/2006/relationships/hyperlink" Id="rId161" Target="https://www.nature.com/articles/s41746-024-01390-4" TargetMode="External" /><Relationship Type="http://schemas.openxmlformats.org/officeDocument/2006/relationships/hyperlink" Id="rId314" Target="https://www.nyulawreview.org/issues/volume-94-number-4/data-standardization/" TargetMode="External" /><Relationship Type="http://schemas.openxmlformats.org/officeDocument/2006/relationships/hyperlink" Id="rId248" Target="https://www.oracle.com/human-capital-management/cost-employee-turnover-healthcare/" TargetMode="External" /><Relationship Type="http://schemas.openxmlformats.org/officeDocument/2006/relationships/hyperlink" Id="rId308" Target="https://www.precedenceresearch.com/healthcare-analytics-market" TargetMode="External" /><Relationship Type="http://schemas.openxmlformats.org/officeDocument/2006/relationships/hyperlink" Id="rId266" Target="https://www.redjournal.org/article/S0360-3016(16)00260-1/fulltext" TargetMode="External" /><Relationship Type="http://schemas.openxmlformats.org/officeDocument/2006/relationships/hyperlink" Id="rId199" Target="https://www.sciencedirect.com/science/article/abs/pii/S0148296316304891" TargetMode="External" /><Relationship Type="http://schemas.openxmlformats.org/officeDocument/2006/relationships/hyperlink" Id="rId175" Target="https://www.sciencedirect.com/science/article/pii/S0031320324008197" TargetMode="External" /><Relationship Type="http://schemas.openxmlformats.org/officeDocument/2006/relationships/hyperlink" Id="rId123" Target="https://www.sciencedirect.com/science/article/pii/S0040162515003692" TargetMode="External" /><Relationship Type="http://schemas.openxmlformats.org/officeDocument/2006/relationships/hyperlink" Id="rId318" Target="https://www.sciencedirect.com/science/article/pii/S0168851021002396" TargetMode="External" /><Relationship Type="http://schemas.openxmlformats.org/officeDocument/2006/relationships/hyperlink" Id="rId280" Target="https://www.sciencedirect.com/science/article/pii/S1386505623001296" TargetMode="External" /><Relationship Type="http://schemas.openxmlformats.org/officeDocument/2006/relationships/hyperlink" Id="rId165" Target="https://www.sciencedirect.com/science/article/pii/S1386505623001405" TargetMode="External" /><Relationship Type="http://schemas.openxmlformats.org/officeDocument/2006/relationships/hyperlink" Id="rId209" Target="https://www.sciencedirect.com/science/article/pii/S1386505624001916" TargetMode="External" /><Relationship Type="http://schemas.openxmlformats.org/officeDocument/2006/relationships/hyperlink" Id="rId187" Target="https://www.sciencedirect.com/science/article/pii/S1532046414001592" TargetMode="External" /><Relationship Type="http://schemas.openxmlformats.org/officeDocument/2006/relationships/hyperlink" Id="rId181" Target="https://www.sciencedirect.com/science/article/pii/S1532046424000650" TargetMode="External" /><Relationship Type="http://schemas.openxmlformats.org/officeDocument/2006/relationships/hyperlink" Id="rId272" Target="https://www.tandfonline.com/doi/abs/10.1080/08956308.2010.11657637" TargetMode="External" /><Relationship Type="http://schemas.openxmlformats.org/officeDocument/2006/relationships/hyperlink" Id="rId215" Target="https://www.tandfonline.com/doi/full/10.1080/20479700.2018.153160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Dynamics, and Technical Barriers</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2026-01-02T19:43:47Z</dcterms:created>
  <dcterms:modified xsi:type="dcterms:W3CDTF">2026-01-02T19:43:47Z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that form a compounding cycle: low analytics maturity (only 39 organizations globally have achieved HIMSS AMAM Stage 6-7), high new-hire turnover (~34% implied annual rate for healthcare IT staff as of 2004), and technical barriers in natural language to SQL generation. When these challenges interact, they create institutional memory loss that threatens data-driven healthcare transformation.Objective: This research develops a three-pillar analytical framework connecting healthcare analytics maturity gaps, workforce turnover, and technical barriers to data access. The framework reveals how these challenges interconnect and compound each other.Methods: We conducted a narrative literature review of peer-reviewed studies and industry reports on natural language to SQL generation, healthcare analytics maturity, and workforce turnover. Grey literature sources were assessed using the AACODS checklist. Evidence was synthesized through a three-pillar analytical framework examining how these challenges interconnect and compound each other.Results: Healthcare-specific text-to-SQL benchmarks (EHRSQL, SM3-Text-to-Query)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three-pillar framework reveals compounding dynamics: organizations at low maturity stages experience higher turnover, turnover degrades institutional knowledge needed for maturity advancement, and technical barriers prevent capturing expertise before it is lost.Conclusions: We contribute a three-pillar analytical framework synthesizing evidence on healthcare analytics maturity, workforce dynamics, and technical barriers. The framework reveals compounding effects: low maturity accelerates turnover, turnover degrades maturity, and technical barriers prevent recovery. This analytical lens enables organizational self-assessment and informs future research on technology interventions, including conversational AI platforms as one potential application.</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December 2025</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NL2SQL in Healthcare</vt:lpwstr>
  </property>
  <property fmtid="{D5CDD505-2E9C-101B-9397-08002B2CF9AE}" pid="20" name="header-right">
    <vt:lpwstr>December 2025</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1.19.0</vt:lpwstr>
  </property>
</Properties>
</file>