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chen2024">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chen2024">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49</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72</w:t>
              </w:r>
            </w:hyperlink>
            <w:r>
              <w:t xml:space="preserve">–</w:t>
            </w:r>
            <w:hyperlink w:anchor="ref-musa2023">
              <w:r>
                <w:rPr>
                  <w:rStyle w:val="Hyperlink"/>
                </w:rPr>
                <w:t xml:space="preserve">74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104</w:t>
              </w:r>
            </w:hyperlink>
            <w:r>
              <w:t xml:space="preserve">,</w:t>
            </w:r>
            <w:hyperlink w:anchor="ref-bogaert2021">
              <w:r>
                <w:rPr>
                  <w:rStyle w:val="Hyperlink"/>
                </w:rPr>
                <w:t xml:space="preserve">106</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0"/>
    <w:bookmarkStart w:id="91"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apply the framework to evaluate barrier-reducing technologies,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4"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for institutional memory preservation.</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15"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14"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13"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12"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w:t>
      </w:r>
      <w:r>
        <w:t xml:space="preserve"> </w:t>
      </w:r>
      <w:r>
        <w:t xml:space="preserve">Big data analytics: Understanding its capabilities and potential benefits for healthcare organizations</w:t>
      </w:r>
      <w:r>
        <w:t xml:space="preserve">. Technological Forecasting and Social Change [Internet]. 2018; Available from:</w:t>
      </w:r>
      <w:r>
        <w:t xml:space="preserve"> </w:t>
      </w:r>
      <w:hyperlink r:id="rId117">
        <w:r>
          <w:rPr>
            <w:rStyle w:val="Hyperlink"/>
          </w:rPr>
          <w:t xml:space="preserve">https://www.sciencedirect.com/science/article/pii/S0040162516302244</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 Available from:</w:t>
      </w:r>
      <w:r>
        <w:t xml:space="preserve"> </w:t>
      </w:r>
      <w:hyperlink r:id="rId131">
        <w:r>
          <w:rPr>
            <w:rStyle w:val="Hyperlink"/>
          </w:rPr>
          <w:t xml:space="preserve">https://jamanetwork.com/journals/jamainternalmedicine/fullarticle/2807501</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Y.</w:t>
      </w:r>
      <w:r>
        <w:t xml:space="preserve"> </w:t>
      </w:r>
      <w:r>
        <w:t xml:space="preserve">Worldwide prevalence and associated factors of nursing staff turnover: A systematic review and meta-analysis</w:t>
      </w:r>
      <w:r>
        <w:t xml:space="preserve">. International Journal of Nursing Studies [Internet]. 2024;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Study M.</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2024; Available from:</w:t>
      </w:r>
      <w:r>
        <w:t xml:space="preserve"> </w:t>
      </w:r>
      <w:hyperlink r:id="rId155">
        <w:r>
          <w:rPr>
            <w:rStyle w:val="Hyperlink"/>
          </w:rPr>
          <w:t xml:space="preserve">https://ai.nejm.org/doi/full/10.1056/AIdbp2500144</w:t>
        </w:r>
      </w:hyperlink>
    </w:p>
    <w:bookmarkEnd w:id="156"/>
    <w:bookmarkStart w:id="158" w:name="ref-chen2024"/>
    <w:p>
      <w:pPr>
        <w:pStyle w:val="Bibliography"/>
      </w:pPr>
      <w:r>
        <w:t xml:space="preserve">24.</w:t>
      </w:r>
      <w:r>
        <w:t xml:space="preserve"> </w:t>
      </w:r>
      <w:r>
        <w:t xml:space="preserve">	</w:t>
      </w:r>
      <w:r>
        <w:t xml:space="preserve">Chen et al Z.</w:t>
      </w:r>
      <w:r>
        <w:t xml:space="preserve"> </w:t>
      </w:r>
      <w:r>
        <w:t xml:space="preserve">Towards evaluating and building versatile large language models for medicine</w:t>
      </w:r>
      <w:r>
        <w:t xml:space="preserve">. npj Digital Medicine [Internet]. 2024;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w:t>
      </w:r>
      <w:r>
        <w:t xml:space="preserve"> </w:t>
      </w:r>
      <w:r>
        <w:t xml:space="preserve">Robust clinical querying with local LLMs: Lexical challenges in NL2SQL and RAG-QA on EHRs</w:t>
      </w:r>
      <w:r>
        <w:t xml:space="preserve">. Big Data and Cognitive Computing [Internet]. 2025; Available from:</w:t>
      </w:r>
      <w:r>
        <w:t xml:space="preserve"> </w:t>
      </w:r>
      <w:hyperlink r:id="rId159">
        <w:r>
          <w:rPr>
            <w:rStyle w:val="Hyperlink"/>
          </w:rPr>
          <w:t xml:space="preserve">https://www.mdpi.com/2504-2289/9/3/124</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 Available from:</w:t>
      </w:r>
      <w:r>
        <w:t xml:space="preserve"> </w:t>
      </w:r>
      <w:hyperlink r:id="rId197">
        <w:r>
          <w:rPr>
            <w:rStyle w:val="Hyperlink"/>
          </w:rPr>
          <w:t xml:space="preserve">https://www.jmir.org/2024/1/e52224</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5">
        <w:r>
          <w:rPr>
            <w:rStyle w:val="Hyperlink"/>
          </w:rPr>
          <w:t xml:space="preserve">https://www.tandfonline.com/doi/full/10.1080/20479700.2018.1531606</w:t>
        </w:r>
      </w:hyperlink>
    </w:p>
    <w:bookmarkEnd w:id="206"/>
    <w:bookmarkStart w:id="208"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7">
        <w:r>
          <w:rPr>
            <w:rStyle w:val="Hyperlink"/>
          </w:rPr>
          <w:t xml:space="preserve">https://www.healthcatalyst.com/learn/insights/healthcare-analytics-adoption-model-roadmap-analytic-maturity</w:t>
        </w:r>
      </w:hyperlink>
    </w:p>
    <w:bookmarkEnd w:id="208"/>
    <w:bookmarkStart w:id="210" w:name="ref-carvalho2019"/>
    <w:p>
      <w:pPr>
        <w:pStyle w:val="Bibliography"/>
      </w:pPr>
      <w:r>
        <w:t xml:space="preserve">50.</w:t>
      </w:r>
      <w:r>
        <w:t xml:space="preserve"> </w:t>
      </w:r>
      <w:r>
        <w:t xml:space="preserve">	</w:t>
      </w:r>
      <w:r>
        <w:t xml:space="preserve">Carvalho JV, Rocha Á, Vasconcelos J.</w:t>
      </w:r>
      <w:r>
        <w:t xml:space="preserve"> </w:t>
      </w:r>
      <w:hyperlink r:id="rId20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0"/>
    <w:bookmarkStart w:id="211"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1"/>
    <w:bookmarkStart w:id="212"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2"/>
    <w:bookmarkStart w:id="213"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3"/>
    <w:bookmarkStart w:id="214"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4"/>
    <w:bookmarkStart w:id="215"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5"/>
    <w:bookmarkStart w:id="216"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6"/>
    <w:bookmarkStart w:id="217"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7"/>
    <w:bookmarkStart w:id="218"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8"/>
    <w:bookmarkStart w:id="219"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9"/>
    <w:bookmarkStart w:id="220"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0"/>
    <w:bookmarkStart w:id="221"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1"/>
    <w:bookmarkStart w:id="222"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2"/>
    <w:bookmarkStart w:id="223"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3"/>
    <w:bookmarkStart w:id="224"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4"/>
    <w:bookmarkStart w:id="225"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5"/>
    <w:bookmarkStart w:id="227"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6">
        <w:r>
          <w:rPr>
            <w:rStyle w:val="Hyperlink"/>
          </w:rPr>
          <w:t xml:space="preserve">https://pmc.ncbi.nlm.nih.gov/articles/PMC11919231/</w:t>
        </w:r>
      </w:hyperlink>
    </w:p>
    <w:bookmarkEnd w:id="227"/>
    <w:bookmarkStart w:id="229"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8">
        <w:r>
          <w:rPr>
            <w:rStyle w:val="Hyperlink"/>
          </w:rPr>
          <w:t xml:space="preserve">https://doi.org/10.1108/JKM-08-2016-0338</w:t>
        </w:r>
      </w:hyperlink>
    </w:p>
    <w:bookmarkEnd w:id="229"/>
    <w:bookmarkStart w:id="231"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0">
        <w:r>
          <w:rPr>
            <w:rStyle w:val="Hyperlink"/>
          </w:rPr>
          <w:t xml:space="preserve">https://journals.lww.com/jonajournal/abstract/2005/01000/the_costs_of_nurse_turnover__part_2__application.14.aspx</w:t>
        </w:r>
      </w:hyperlink>
    </w:p>
    <w:bookmarkEnd w:id="231"/>
    <w:bookmarkStart w:id="233"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2">
        <w:r>
          <w:rPr>
            <w:rStyle w:val="Hyperlink"/>
          </w:rPr>
          <w:t xml:space="preserve">https://www.annfammed.org/content/17/1/36</w:t>
        </w:r>
      </w:hyperlink>
    </w:p>
    <w:bookmarkEnd w:id="233"/>
    <w:bookmarkStart w:id="235"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4">
        <w:r>
          <w:rPr>
            <w:rStyle w:val="Hyperlink"/>
          </w:rPr>
          <w:t xml:space="preserve">https://jamanetwork.com/journals/jamanetworkopen/fullarticle/2784810</w:t>
        </w:r>
      </w:hyperlink>
    </w:p>
    <w:bookmarkEnd w:id="235"/>
    <w:bookmarkStart w:id="237"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6">
        <w:r>
          <w:rPr>
            <w:rStyle w:val="Hyperlink"/>
          </w:rPr>
          <w:t xml:space="preserve">https://www.oracle.com/human-capital-management/cost-employee-turnover-healthcare/</w:t>
        </w:r>
      </w:hyperlink>
    </w:p>
    <w:bookmarkEnd w:id="237"/>
    <w:bookmarkStart w:id="239"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8">
        <w:r>
          <w:rPr>
            <w:rStyle w:val="Hyperlink"/>
          </w:rPr>
          <w:t xml:space="preserve">https://human-resources-health.biomedcentral.com/articles/10.1186/1478-4491-11-35</w:t>
        </w:r>
      </w:hyperlink>
    </w:p>
    <w:bookmarkEnd w:id="239"/>
    <w:bookmarkStart w:id="241"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0">
        <w:r>
          <w:rPr>
            <w:rStyle w:val="Hyperlink"/>
          </w:rPr>
          <w:t xml:space="preserve">https://pubmed.ncbi.nlm.nih.gov/20054502/</w:t>
        </w:r>
      </w:hyperlink>
    </w:p>
    <w:bookmarkEnd w:id="241"/>
    <w:bookmarkStart w:id="243"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2">
        <w:r>
          <w:rPr>
            <w:rStyle w:val="Hyperlink"/>
          </w:rPr>
          <w:t xml:space="preserve">https://pmc.ncbi.nlm.nih.gov/articles/PMC10243608/</w:t>
        </w:r>
      </w:hyperlink>
    </w:p>
    <w:bookmarkEnd w:id="243"/>
    <w:bookmarkStart w:id="245"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4">
        <w:r>
          <w:rPr>
            <w:rStyle w:val="Hyperlink"/>
          </w:rPr>
          <w:t xml:space="preserve">https://www.diva-portal.org/smash/record.jsf?pid=diva2:1684142</w:t>
        </w:r>
      </w:hyperlink>
    </w:p>
    <w:bookmarkEnd w:id="245"/>
    <w:bookmarkStart w:id="247"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8">
        <w:r>
          <w:rPr>
            <w:rStyle w:val="Hyperlink"/>
          </w:rPr>
          <w:t xml:space="preserve">https://onlinelibrary.wiley.com/doi/abs/10.1111/j.1547-5069.2009.01319.x</w:t>
        </w:r>
      </w:hyperlink>
    </w:p>
    <w:bookmarkEnd w:id="249"/>
    <w:bookmarkStart w:id="251"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0">
        <w:r>
          <w:rPr>
            <w:rStyle w:val="Hyperlink"/>
          </w:rPr>
          <w:t xml:space="preserve">https://human-resources-health.biomedcentral.com/articles/10.1186/s12960-019-0432-y</w:t>
        </w:r>
      </w:hyperlink>
    </w:p>
    <w:bookmarkEnd w:id="251"/>
    <w:bookmarkStart w:id="253"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2">
        <w:r>
          <w:rPr>
            <w:rStyle w:val="Hyperlink"/>
          </w:rPr>
          <w:t xml:space="preserve">https://www.emerald.com/insight/content/doi/10.1108/13660750510611198/full/html</w:t>
        </w:r>
      </w:hyperlink>
    </w:p>
    <w:bookmarkEnd w:id="253"/>
    <w:bookmarkStart w:id="255"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4">
        <w:r>
          <w:rPr>
            <w:rStyle w:val="Hyperlink"/>
          </w:rPr>
          <w:t xml:space="preserve">https://www.redjournal.org/article/S0360-3016(16)00260-1/fulltext</w:t>
        </w:r>
      </w:hyperlink>
    </w:p>
    <w:bookmarkEnd w:id="255"/>
    <w:bookmarkStart w:id="257"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6">
        <w:r>
          <w:rPr>
            <w:rStyle w:val="Hyperlink"/>
          </w:rPr>
          <w:t xml:space="preserve">https://onlinelibrary.wiley.com/doi/abs/10.1111/j.1540-5885.2010.00798.x</w:t>
        </w:r>
      </w:hyperlink>
    </w:p>
    <w:bookmarkEnd w:id="257"/>
    <w:bookmarkStart w:id="259"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8">
        <w:r>
          <w:rPr>
            <w:rStyle w:val="Hyperlink"/>
          </w:rPr>
          <w:t xml:space="preserve">https://www.emerald.com/insight/content/doi/10.1108/13673270610650067/full/html</w:t>
        </w:r>
      </w:hyperlink>
    </w:p>
    <w:bookmarkEnd w:id="259"/>
    <w:bookmarkStart w:id="261"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0">
        <w:r>
          <w:rPr>
            <w:rStyle w:val="Hyperlink"/>
          </w:rPr>
          <w:t xml:space="preserve">https://www.tandfonline.com/doi/abs/10.1080/08956308.2010.11657637</w:t>
        </w:r>
      </w:hyperlink>
    </w:p>
    <w:bookmarkEnd w:id="261"/>
    <w:bookmarkStart w:id="263"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2">
        <w:r>
          <w:rPr>
            <w:rStyle w:val="Hyperlink"/>
          </w:rPr>
          <w:t xml:space="preserve">https://www.inderscienceonline.com/doi/abs/10.1504/IJNKM.2006.009880</w:t>
        </w:r>
      </w:hyperlink>
    </w:p>
    <w:bookmarkEnd w:id="263"/>
    <w:bookmarkStart w:id="265"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4">
        <w:r>
          <w:rPr>
            <w:rStyle w:val="Hyperlink"/>
          </w:rPr>
          <w:t xml:space="preserve">https://journalofbigdata.springeropen.com/articles/10.1186/s40537-019-0170-y</w:t>
        </w:r>
      </w:hyperlink>
    </w:p>
    <w:bookmarkEnd w:id="265"/>
    <w:bookmarkStart w:id="267"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6">
        <w:r>
          <w:rPr>
            <w:rStyle w:val="Hyperlink"/>
          </w:rPr>
          <w:t xml:space="preserve">https://www.jmir.org/2020/10/e20346/</w:t>
        </w:r>
      </w:hyperlink>
    </w:p>
    <w:bookmarkEnd w:id="267"/>
    <w:bookmarkStart w:id="269"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8">
        <w:r>
          <w:rPr>
            <w:rStyle w:val="Hyperlink"/>
          </w:rPr>
          <w:t xml:space="preserve">https://www.sciencedirect.com/science/article/pii/S1386505623001296</w:t>
        </w:r>
      </w:hyperlink>
    </w:p>
    <w:bookmarkEnd w:id="269"/>
    <w:bookmarkStart w:id="271"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0">
        <w:r>
          <w:rPr>
            <w:rStyle w:val="Hyperlink"/>
          </w:rPr>
          <w:t xml:space="preserve">https://ai.jmir.org/2023/1/e44358</w:t>
        </w:r>
      </w:hyperlink>
    </w:p>
    <w:bookmarkEnd w:id="271"/>
    <w:bookmarkStart w:id="273"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2">
        <w:r>
          <w:rPr>
            <w:rStyle w:val="Hyperlink"/>
          </w:rPr>
          <w:t xml:space="preserve">https://medinform.jmir.org/2022/2/e32875</w:t>
        </w:r>
      </w:hyperlink>
    </w:p>
    <w:bookmarkEnd w:id="273"/>
    <w:bookmarkStart w:id="275"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4">
        <w:r>
          <w:rPr>
            <w:rStyle w:val="Hyperlink"/>
          </w:rPr>
          <w:t xml:space="preserve">https://ieeexplore.ieee.org/document/10297311</w:t>
        </w:r>
      </w:hyperlink>
    </w:p>
    <w:bookmarkEnd w:id="275"/>
    <w:bookmarkStart w:id="277"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6">
        <w:r>
          <w:rPr>
            <w:rStyle w:val="Hyperlink"/>
          </w:rPr>
          <w:t xml:space="preserve">https://pubsonline.informs.org/doi/abs/10.1287/educ.2023.0257</w:t>
        </w:r>
      </w:hyperlink>
    </w:p>
    <w:bookmarkEnd w:id="277"/>
    <w:bookmarkStart w:id="279"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8">
        <w:r>
          <w:rPr>
            <w:rStyle w:val="Hyperlink"/>
          </w:rPr>
          <w:t xml:space="preserve">https://ia.berkshirehealthcare.nhs.uk/citizen-developer-programme</w:t>
        </w:r>
      </w:hyperlink>
    </w:p>
    <w:bookmarkEnd w:id="279"/>
    <w:bookmarkStart w:id="281"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0">
        <w:r>
          <w:rPr>
            <w:rStyle w:val="Hyperlink"/>
          </w:rPr>
          <w:t xml:space="preserve">https://ieeexplore.ieee.org/abstract/document/10373712/</w:t>
        </w:r>
      </w:hyperlink>
    </w:p>
    <w:bookmarkEnd w:id="281"/>
    <w:bookmarkStart w:id="283"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2">
        <w:r>
          <w:rPr>
            <w:rStyle w:val="Hyperlink"/>
          </w:rPr>
          <w:t xml:space="preserve">https://ieeexplore.ieee.org/document/10186753</w:t>
        </w:r>
      </w:hyperlink>
    </w:p>
    <w:bookmarkEnd w:id="283"/>
    <w:bookmarkStart w:id="285"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4">
        <w:r>
          <w:rPr>
            <w:rStyle w:val="Hyperlink"/>
          </w:rPr>
          <w:t xml:space="preserve">https://tei.forrester.com/go/microsoft/powerappstei/?lang=en-us</w:t>
        </w:r>
      </w:hyperlink>
    </w:p>
    <w:bookmarkEnd w:id="285"/>
    <w:bookmarkStart w:id="287"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6">
        <w:r>
          <w:rPr>
            <w:rStyle w:val="Hyperlink"/>
          </w:rPr>
          <w:t xml:space="preserve">https://sarcouncil.com/download-article/SJECS-209-_2025-630-636.pdf</w:t>
        </w:r>
      </w:hyperlink>
    </w:p>
    <w:bookmarkEnd w:id="287"/>
    <w:bookmarkStart w:id="289"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8">
        <w:r>
          <w:rPr>
            <w:rStyle w:val="Hyperlink"/>
          </w:rPr>
          <w:t xml:space="preserve">https://imjstb.com/index.php/Journal/article/view/95</w:t>
        </w:r>
      </w:hyperlink>
    </w:p>
    <w:bookmarkEnd w:id="289"/>
    <w:bookmarkStart w:id="291"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0">
        <w:r>
          <w:rPr>
            <w:rStyle w:val="Hyperlink"/>
          </w:rPr>
          <w:t xml:space="preserve">https://mds.marshall.edu/etd/1824/</w:t>
        </w:r>
      </w:hyperlink>
    </w:p>
    <w:bookmarkEnd w:id="291"/>
    <w:bookmarkStart w:id="293"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2">
        <w:r>
          <w:rPr>
            <w:rStyle w:val="Hyperlink"/>
          </w:rPr>
          <w:t xml:space="preserve">https://gisrrj.com/paper/GISRRJ236426.pdf</w:t>
        </w:r>
      </w:hyperlink>
    </w:p>
    <w:bookmarkEnd w:id="293"/>
    <w:bookmarkStart w:id="295"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4">
        <w:r>
          <w:rPr>
            <w:rStyle w:val="Hyperlink"/>
          </w:rPr>
          <w:t xml:space="preserve">https://formative.jmir.org/2023/1/e38555</w:t>
        </w:r>
      </w:hyperlink>
    </w:p>
    <w:bookmarkEnd w:id="295"/>
    <w:bookmarkStart w:id="297"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6">
        <w:r>
          <w:rPr>
            <w:rStyle w:val="Hyperlink"/>
          </w:rPr>
          <w:t xml:space="preserve">https://www.precedenceresearch.com/healthcare-analytics-market</w:t>
        </w:r>
      </w:hyperlink>
    </w:p>
    <w:bookmarkEnd w:id="297"/>
    <w:bookmarkStart w:id="299"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2">
        <w:r>
          <w:rPr>
            <w:rStyle w:val="Hyperlink"/>
          </w:rPr>
          <w:t xml:space="preserve">https://www.nyulawreview.org/issues/volume-94-number-4/data-standardization/</w:t>
        </w:r>
      </w:hyperlink>
    </w:p>
    <w:bookmarkEnd w:id="303"/>
    <w:bookmarkStart w:id="305"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4">
        <w:r>
          <w:rPr>
            <w:rStyle w:val="Hyperlink"/>
          </w:rPr>
          <w:t xml:space="preserve">https://www.acpjournals.org/doi/10.7326/M19-0871</w:t>
        </w:r>
      </w:hyperlink>
    </w:p>
    <w:bookmarkEnd w:id="305"/>
    <w:bookmarkStart w:id="307"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6">
        <w:r>
          <w:rPr>
            <w:rStyle w:val="Hyperlink"/>
          </w:rPr>
          <w:t xml:space="preserve">https://www.sciencedirect.com/science/article/pii/S0168851021002396</w:t>
        </w:r>
      </w:hyperlink>
    </w:p>
    <w:bookmarkEnd w:id="307"/>
    <w:bookmarkStart w:id="309"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8">
        <w:r>
          <w:rPr>
            <w:rStyle w:val="Hyperlink"/>
          </w:rPr>
          <w:t xml:space="preserve">https://newsroom.ibm.com/2022-01-21-Francisco-Partners-to-Acquire-IBMs-Healthcare-Data-and-Analytics-Assets</w:t>
        </w:r>
      </w:hyperlink>
    </w:p>
    <w:bookmarkEnd w:id="309"/>
    <w:bookmarkStart w:id="311"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0">
        <w:r>
          <w:rPr>
            <w:rStyle w:val="Hyperlink"/>
          </w:rPr>
          <w:t xml:space="preserve">https://www.cnbc.com/2021/01/04/haven-the-amazon-berkshire-jpmorgan-venture-to-disrupt-healthcare-is-disbanding-after-3-years.html</w:t>
        </w:r>
      </w:hyperlink>
    </w:p>
    <w:bookmarkEnd w:id="311"/>
    <w:bookmarkEnd w:id="312"/>
    <w:bookmarkEnd w:id="313"/>
    <w:bookmarkEnd w:id="314"/>
    <w:bookmarkEnd w:id="3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analytical framework, analytics maturity, workforce turnover, institutional memory, text-to-SQL, natural language processing, knowledge portal, conversational AI, healthcare analytics, healthcare informatics</cp:keywords>
  <dcterms:created xsi:type="dcterms:W3CDTF">2025-12-31T13:26:40Z</dcterms:created>
  <dcterms:modified xsi:type="dcterms:W3CDTF">2025-12-31T13:26:40Z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