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 Figure 1 illustrates this architecture, showing how clinical users interact with a conversational AI interface that draws on organizational knowledge infrastructure to generate contextual insights.</w:t>
      </w:r>
    </w:p>
    <w:p>
      <w:pPr>
        <w:pStyle w:val="Compact"/>
        <w:numPr>
          <w:ilvl w:val="0"/>
          <w:numId w:val="1004"/>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68 academic and 11 industry sources (79 total).</w:t>
      </w:r>
    </w:p>
    <w:p>
      <w:pPr>
        <w:pStyle w:val="BodyText"/>
      </w:pPr>
      <w:r>
        <w:t xml:space="preserve">Figure 2 illustrates the literature selection process, showing progression from initial database search through screening and quality assessment to the final corpus of 79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79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79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validated across 47 years of subsequent research.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p>
      <w:pPr>
        <w:pStyle w:val="BodyText"/>
      </w:pPr>
      <w:r>
        <w:t xml:space="preserve">Quantitative evidence links analytics maturity directly to patient outcomes. Cross-sectional studies using the HIMSS Electronic Medical Record Adoption Model (EMRAM) demonstrate that hospitals with advanced digital maturity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Big data analytics capabilities, combined with complementary organizational resources and analytical personnel skills, improve readmission rates and patient satisfaction [A56], while poor-quality data (a component of lower maturity) results in diagnostic errors, ineffective treatments, and compromised patient care [A57].</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 [A18]</w:t>
      </w:r>
    </w:p>
    <w:p>
      <w:pPr>
        <w:pStyle w:val="Compact"/>
        <w:numPr>
          <w:ilvl w:val="0"/>
          <w:numId w:val="1016"/>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4"/>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4"/>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4"/>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5"/>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8"/>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8"/>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8"/>
        </w:numPr>
      </w:pPr>
      <w:r>
        <w:rPr>
          <w:b/>
          <w:bCs/>
        </w:rPr>
        <w:t xml:space="preserve">Longitudinal outcomes</w:t>
      </w:r>
      <w:r>
        <w:t xml:space="preserve">: Most implementation studies span 6-24 months; multi-year institutional knowledge preservation effects remain understudied</w:t>
      </w:r>
    </w:p>
    <w:p>
      <w:pPr>
        <w:numPr>
          <w:ilvl w:val="0"/>
          <w:numId w:val="1028"/>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2025-12-21T22:59:17Z</dcterms:created>
  <dcterms:modified xsi:type="dcterms:W3CDTF">2025-12-21T22:59:17Z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