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July 2026</w:t>
      </w:r>
    </w:p>
    <w:p>
      <w:pPr>
        <w:pStyle w:val="FirstParagraph"/>
      </w:pPr>
      <w:r>
        <w:t xml:space="preserve">Samuel T Harrold</w:t>
      </w:r>
      <w:r>
        <w:br/>
      </w:r>
      <w:r>
        <w:t xml:space="preserve">Yuimedi, Inc.</w:t>
      </w:r>
      <w:r>
        <w:br/>
      </w:r>
      <w:r>
        <w:t xml:space="preserve">samuel.harrold@yuimedi.com</w:t>
      </w:r>
    </w:p>
    <w:p>
      <w:pPr>
        <w:pStyle w:val="BodyText"/>
      </w:pPr>
      <w:r>
        <w:t xml:space="preserve">July 2026</w:t>
      </w:r>
    </w:p>
    <w:p>
      <w:pPr>
        <w:pStyle w:val="BodyText"/>
      </w:pPr>
      <w:r>
        <w:t xml:space="preserve">Dr. Matthew Balcarras</w:t>
      </w:r>
      <w:r>
        <w:br/>
      </w:r>
      <w:r>
        <w:t xml:space="preserve">Editor, Interactive Journal of Medical Research</w:t>
      </w:r>
      <w:r>
        <w:br/>
      </w:r>
      <w:r>
        <w:t xml:space="preserve">JMIR Publications</w:t>
      </w:r>
    </w:p>
    <w:p>
      <w:pPr>
        <w:pStyle w:val="BodyText"/>
      </w:pPr>
      <w:r>
        <w:t xml:space="preserve">RE: Revised Manuscript (R2) Resubmission: ms#96541, Decision B (minor revision)</w:t>
      </w:r>
    </w:p>
    <w:p>
      <w:pPr>
        <w:pStyle w:val="BodyText"/>
      </w:pPr>
      <w:r>
        <w:t xml:space="preserve">Dear Dr. Balcarras,</w:t>
      </w:r>
    </w:p>
    <w:p>
      <w:pPr>
        <w:pStyle w:val="BodyText"/>
      </w:pPr>
      <w:r>
        <w:t xml:space="preserve">I am writing to resubmit the manuscript</w:t>
      </w:r>
      <w:r>
        <w:t xml:space="preserve"> </w:t>
      </w:r>
      <w:r>
        <w:t xml:space="preserve">“Healthcare Analytics Challenges: A Three-Pillar Framework Connecting Analytics Maturity, Workforce Agility, and Technical Enablement”</w:t>
      </w:r>
      <w:r>
        <w:t xml:space="preserve"> </w:t>
      </w:r>
      <w:r>
        <w:t xml:space="preserve">(ms#96541) as a</w:t>
      </w:r>
      <w:r>
        <w:t xml:space="preserve"> </w:t>
      </w:r>
      <w:r>
        <w:rPr>
          <w:i/>
          <w:iCs/>
        </w:rPr>
        <w:t xml:space="preserve">Viewpoint</w:t>
      </w:r>
      <w:r>
        <w:t xml:space="preserve"> </w:t>
      </w:r>
      <w:r>
        <w:t xml:space="preserve">article, revised in response to Decision B (minor revision).</w:t>
      </w:r>
    </w:p>
    <w:bookmarkStart w:id="9" w:name="response-to-decision-b"/>
    <w:p>
      <w:pPr>
        <w:pStyle w:val="Heading2"/>
      </w:pPr>
      <w:r>
        <w:t xml:space="preserve">Response to Decision B</w:t>
      </w:r>
    </w:p>
    <w:p>
      <w:pPr>
        <w:pStyle w:val="FirstParagraph"/>
      </w:pPr>
      <w:r>
        <w:t xml:space="preserve">I am grateful to you and to both reviewers for the assessment across two rounds. Both reviewers have indicated that their content concerns are resolved; this revision addresses the three remaining editorial items (manuscript length, reference DOIs, and table and figure formatting) and Reviewer T’s suggestion to add figure captions. A full point-by-point response accompanies this resubmission; the summary below highlights the principal changes.</w:t>
      </w:r>
    </w:p>
    <w:bookmarkEnd w:id="9"/>
    <w:bookmarkStart w:id="10" w:name="summary-of-revisions"/>
    <w:p>
      <w:pPr>
        <w:pStyle w:val="Heading2"/>
      </w:pPr>
      <w:r>
        <w:t xml:space="preserve">Summary of Revisions</w:t>
      </w:r>
    </w:p>
    <w:p>
      <w:pPr>
        <w:pStyle w:val="FirstParagraph"/>
      </w:pPr>
      <w:r>
        <w:rPr>
          <w:i/>
          <w:iCs/>
        </w:rPr>
        <w:t xml:space="preserve">Manuscript length (Editor):</w:t>
      </w:r>
    </w:p>
    <w:p>
      <w:pPr>
        <w:pStyle w:val="Compact"/>
        <w:numPr>
          <w:ilvl w:val="0"/>
          <w:numId w:val="1001"/>
        </w:numPr>
      </w:pPr>
      <w:r>
        <w:t xml:space="preserve">The manuscript now measures 4,990 words under JMIR’s published counting method (title, abstract, keywords, body including table content and figure captions, and end matter; excluding references, author metadata, figure images, and appendices), within the 5,000-word Viewpoint limit. The prior submission measured approximately 5,430 words by the same method.</w:t>
      </w:r>
    </w:p>
    <w:p>
      <w:pPr>
        <w:pStyle w:val="Compact"/>
        <w:numPr>
          <w:ilvl w:val="0"/>
          <w:numId w:val="1001"/>
        </w:numPr>
      </w:pPr>
      <w:r>
        <w:t xml:space="preserve">The full Three-Pillar Assessment Rubric (three tables with scoring anchors and evidence) moved to a new Multimedia Appendix 2, following JMIR’s guidance that lengthy tables are better suited to appendices; an abridged one-table summary remains in the main text. Prose and the abstract were tightened throughout. No reviewer-requested content from the first revision was removed.</w:t>
      </w:r>
    </w:p>
    <w:p>
      <w:pPr>
        <w:pStyle w:val="FirstParagraph"/>
      </w:pPr>
      <w:r>
        <w:rPr>
          <w:i/>
          <w:iCs/>
        </w:rPr>
        <w:t xml:space="preserve">Reference accuracy and validity (Editor):</w:t>
      </w:r>
    </w:p>
    <w:p>
      <w:pPr>
        <w:pStyle w:val="Compact"/>
        <w:numPr>
          <w:ilvl w:val="0"/>
          <w:numId w:val="1002"/>
        </w:numPr>
      </w:pPr>
      <w:r>
        <w:t xml:space="preserve">Every reference was audited for DOI registration, agreement with its registered Crossref metadata, and support for the claim cited to it. Eight incorrect or invalid DOIs were corrected, DOIs were added to nine entries, two duplicate entries were removed, seven references were removed or replaced with stronger established sources after verification, and author names and bibliographic fields were corrected against publisher records throughout. The revised list contains 84 references; every DOI resolves and matches its registered metadata.</w:t>
      </w:r>
    </w:p>
    <w:p>
      <w:pPr>
        <w:pStyle w:val="FirstParagraph"/>
      </w:pPr>
      <w:r>
        <w:rPr>
          <w:i/>
          <w:iCs/>
        </w:rPr>
        <w:t xml:space="preserve">Table and figure formatting (Editor):</w:t>
      </w:r>
    </w:p>
    <w:p>
      <w:pPr>
        <w:pStyle w:val="Compact"/>
        <w:numPr>
          <w:ilvl w:val="0"/>
          <w:numId w:val="1003"/>
        </w:numPr>
      </w:pPr>
      <w:r>
        <w:t xml:space="preserve">The root cause of the formatting problem was identified and fixed: the Word template style applied to tables defined no borders, so tables rendered as unaligned text. Tables now display with full gridlines, are numbered with captions above them (</w:t>
      </w:r>
      <w:r>
        <w:t xml:space="preserve">“Table 1.”</w:t>
      </w:r>
      <w:r>
        <w:t xml:space="preserve">,</w:t>
      </w:r>
      <w:r>
        <w:t xml:space="preserve"> </w:t>
      </w:r>
      <w:r>
        <w:t xml:space="preserve">“Table 2.”</w:t>
      </w:r>
      <w:r>
        <w:t xml:space="preserve">), and are cited in the text. The dense rubric tables moved to Multimedia Appendix 2, which presents them as three bordered tables with a resolved reference list.</w:t>
      </w:r>
    </w:p>
    <w:p>
      <w:pPr>
        <w:pStyle w:val="FirstParagraph"/>
      </w:pPr>
      <w:r>
        <w:rPr>
          <w:i/>
          <w:iCs/>
        </w:rPr>
        <w:t xml:space="preserve">Figure captions (Reviewer T):</w:t>
      </w:r>
    </w:p>
    <w:p>
      <w:pPr>
        <w:pStyle w:val="Compact"/>
        <w:numPr>
          <w:ilvl w:val="0"/>
          <w:numId w:val="1004"/>
        </w:numPr>
      </w:pPr>
      <w:r>
        <w:t xml:space="preserve">Each figure now carries a short numbered caption (</w:t>
      </w:r>
      <w:r>
        <w:t xml:space="preserve">“Figure 1.”</w:t>
      </w:r>
      <w:r>
        <w:t xml:space="preserve">,</w:t>
      </w:r>
      <w:r>
        <w:t xml:space="preserve"> </w:t>
      </w:r>
      <w:r>
        <w:t xml:space="preserve">“Figure 2.”</w:t>
      </w:r>
      <w:r>
        <w:t xml:space="preserve">) followed by a brief explanatory footnote, replacing the long unnumbered descriptions that previously read as footnotes without captions.</w:t>
      </w:r>
    </w:p>
    <w:p>
      <w:pPr>
        <w:pStyle w:val="FirstParagraph"/>
      </w:pPr>
      <w:r>
        <w:rPr>
          <w:i/>
          <w:iCs/>
        </w:rPr>
        <w:t xml:space="preserve">Future work (Reviewer Q):</w:t>
      </w:r>
    </w:p>
    <w:p>
      <w:pPr>
        <w:pStyle w:val="Compact"/>
        <w:numPr>
          <w:ilvl w:val="0"/>
          <w:numId w:val="1005"/>
        </w:numPr>
      </w:pPr>
      <w:r>
        <w:t xml:space="preserve">Reviewer Q’s two suggested directions (empirical assessment of the human-in-the-loop component and comparative evaluation against existing approaches) correspond to the priority questions identified in the manuscript’s Conclusion and are the design basis for a planned companion empirical study.</w:t>
      </w:r>
    </w:p>
    <w:p>
      <w:pPr>
        <w:pStyle w:val="FirstParagraph"/>
      </w:pPr>
      <w:r>
        <w:rPr>
          <w:i/>
          <w:iCs/>
        </w:rPr>
        <w:t xml:space="preserve">Voluntary corrections (disclosed in the point-by-point response):</w:t>
      </w:r>
    </w:p>
    <w:p>
      <w:pPr>
        <w:pStyle w:val="Compact"/>
        <w:numPr>
          <w:ilvl w:val="0"/>
          <w:numId w:val="1006"/>
        </w:numPr>
      </w:pPr>
      <w:r>
        <w:t xml:space="preserve">The reference audit prompted a small number of corrections beyond the requested items: the institutional-amnesia construct is now attributed to its public-administration and organization-science literatures rather than presented as newly defined; three statements were tightened to match their sources exactly; and one reference that became inaccessible at its publisher was replaced with an already-cited peer-reviewed source supporting the same point. The generative-AI disclosure in the Acknowledgments is unchanged and is re-attested in the response.</w:t>
      </w:r>
    </w:p>
    <w:p>
      <w:pPr>
        <w:pStyle w:val="FirstParagraph"/>
      </w:pPr>
      <w:r>
        <w:t xml:space="preserve">The revised manuscript remains a</w:t>
      </w:r>
      <w:r>
        <w:t xml:space="preserve"> </w:t>
      </w:r>
      <w:r>
        <w:rPr>
          <w:i/>
          <w:iCs/>
        </w:rPr>
        <w:t xml:space="preserve">Viewpoint</w:t>
      </w:r>
      <w:r>
        <w:t xml:space="preserve"> </w:t>
      </w:r>
      <w:r>
        <w:t xml:space="preserve">with an unstructured abstract of 270 words, two figures, two in-text tables, and two multimedia appendices.</w:t>
      </w:r>
    </w:p>
    <w:bookmarkEnd w:id="10"/>
    <w:bookmarkStart w:id="11" w:name="article-type"/>
    <w:p>
      <w:pPr>
        <w:pStyle w:val="Heading2"/>
      </w:pPr>
      <w:r>
        <w:t xml:space="preserve">Article Type</w:t>
      </w:r>
    </w:p>
    <w:p>
      <w:pPr>
        <w:pStyle w:val="FirstParagraph"/>
      </w:pPr>
      <w:r>
        <w:t xml:space="preserve">This submission is a</w:t>
      </w:r>
      <w:r>
        <w:t xml:space="preserve"> </w:t>
      </w:r>
      <w:r>
        <w:rPr>
          <w:i/>
          <w:iCs/>
        </w:rPr>
        <w:t xml:space="preserve">Viewpoint</w:t>
      </w:r>
      <w:r>
        <w:t xml:space="preserve"> </w:t>
      </w:r>
      <w:r>
        <w:t xml:space="preserve">article: an evidence-based scholarly perspective on mitigating institutional amnesia in healthcare analytics, grounded in peer-reviewed literature and knowledge management theory. As the Viewpoint article type does not permit IMRD section headings, descriptive thematic headers are used throughout.</w:t>
      </w:r>
    </w:p>
    <w:p>
      <w:pPr>
        <w:pStyle w:val="BodyText"/>
      </w:pPr>
      <w:r>
        <w:t xml:space="preserve">Thank you for your continued consideration.</w:t>
      </w:r>
    </w:p>
    <w:p>
      <w:pPr>
        <w:pStyle w:val="BodyText"/>
      </w:pPr>
      <w:r>
        <w:t xml:space="preserve">Respectfully,</w:t>
      </w:r>
    </w:p>
    <w:p>
      <w:pPr>
        <w:pStyle w:val="BodyText"/>
      </w:pPr>
      <w:r>
        <w:t xml:space="preserve">Samuel T Harrold</w:t>
      </w:r>
      <w:r>
        <w:t xml:space="preserve"> </w:t>
      </w:r>
      <w:r>
        <w:t xml:space="preserve">Yuimedi, Inc.</w:t>
      </w:r>
      <w:r>
        <w:t xml:space="preserve"> </w:t>
      </w:r>
      <w:r>
        <w:t xml:space="preserve">samuel.harrold@yuimedi.com</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eastAsiaTheme="minorEastAsia"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0" w:line="480" w:lineRule="auto"/>
    </w:pPr>
    <w:name w:val="Normal"/>
    <w:qFormat/>
    <w:rPr>
      <w:rFonts w:ascii="Times New Roman" w:hAnsi="Times New Roman"/>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heme="majorBidi" w:eastAsiaTheme="majorEastAsia" w:hAnsi="Times New Roman"/>
      <w:sz w:val="28"/>
      <w:szCs w:val="28"/>
    </w:rPr>
  </w:style>
  <w:style w:customStyle="1" w:styleId="TitleChar" w:type="character">
    <w:name w:val="Title Char"/>
    <w:basedOn w:val="DefaultParagraphFont"/>
    <w:link w:val="Title"/>
    <w:uiPriority w:val="10"/>
    <w:rsid w:val="00A10FD9"/>
    <w:rPr>
      <w:rFonts w:ascii="Times New Roman" w:cstheme="majorBidi" w:eastAsiaTheme="majorEastAsia" w:hAnsi="Times New Roman"/>
      <w:sz w:val="28"/>
      <w:szCs w:val="28"/>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Tint="A6"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heme="majorBidi" w:eastAsiaTheme="majorEastAsia" w:hAnsi="Times New Roman"/>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heme="majorBidi" w:eastAsiaTheme="majorEastAsia" w:hAnsi="Times New Roman"/>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Tint="D8" w:val="000000"/>
    </w:rPr>
  </w:style>
  <w:style w:customStyle="1" w:styleId="Heading1Char" w:type="character">
    <w:name w:val="Heading 1 Char"/>
    <w:basedOn w:val="DefaultParagraphFont"/>
    <w:link w:val="Heading1"/>
    <w:uiPriority w:val="9"/>
    <w:rsid w:val="00A10FD9"/>
    <w:rPr>
      <w:rFonts w:ascii="Times New Roman" w:cstheme="majorBidi" w:eastAsiaTheme="majorEastAsia" w:hAnsi="Times New Roman"/>
      <w:color w:val="000000"/>
      <w:sz w:val="28"/>
      <w:szCs w:val="28"/>
    </w:rPr>
  </w:style>
  <w:style w:customStyle="1" w:styleId="Heading2Char" w:type="character">
    <w:name w:val="Heading 2 Char"/>
    <w:basedOn w:val="DefaultParagraphFont"/>
    <w:link w:val="Heading2"/>
    <w:uiPriority w:val="9"/>
    <w:semiHidden/>
    <w:rsid w:val="00A10FD9"/>
    <w:rPr>
      <w:rFonts w:ascii="Times New Roman" w:cstheme="majorBidi" w:eastAsiaTheme="majorEastAsia" w:hAnsi="Times New Roman"/>
      <w:color w:val="000000"/>
      <w:sz w:val="26"/>
      <w:szCs w:val="26"/>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4"/>
      <w:szCs w:val="24"/>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Tint="A6"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Tint="A6"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Tint="D8"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40"/>
        <w:left w:type="dxa" w:w="108"/>
        <w:bottom w:type="dxa" w:w="40"/>
        <w:right w:type="dxa" w:w="108"/>
      </w:tblCellMar>
    </w:tblPr>
    <w:tblStylePr w:type="firstRow">
      <w:tcPr>
        <w:tcBorders>
          <w:bottom w:color="auto"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eastAsiaTheme="majorEastAsia"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Revised Manuscript (R2) Resubmission: ms#96541, Decision B (minor revision)</dc:subject>
  <cp:keywords/>
  <dcterms:created xsi:type="dcterms:W3CDTF">2026-07-11T04:39:14Z</dcterms:created>
  <dcterms:modified xsi:type="dcterms:W3CDTF">2026-07-11T04:39:14Z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from">
    <vt:lpwstr>Samuel T Harrold, Yuimedi, Inc.</vt:lpwstr>
  </property>
  <property fmtid="{D5CDD505-2E9C-101B-9397-08002B2CF9AE}" pid="4" name="to">
    <vt:lpwstr>Dr. Matthew Balcarras, Editor, Interactive Journal of Medical Research</vt:lpwstr>
  </property>
</Properties>
</file>