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 Care Analytics Challenges: A Three-Pillar Framework Connecting Analytics Maturity, Workforce Agility, and Technical Enablement</w:t>
      </w:r>
    </w:p>
    <w:p>
      <w:pPr>
        <w:pStyle w:val="Author"/>
      </w:pPr>
      <w:r>
        <w:t xml:space="preserve">Samuel T Harrold, Yuimedi, Inc.</w:t>
      </w:r>
    </w:p>
    <w:p>
      <w:pPr>
        <w:pStyle w:val="Date"/>
      </w:pPr>
      <w:r>
        <w:t xml:space="preserve">July 2026</w:t>
      </w:r>
    </w:p>
    <w:p>
      <w:pPr>
        <w:pStyle w:val="AbstractTitle"/>
      </w:pPr>
      <w:r>
        <w:t xml:space="preserve">Abstract</w:t>
      </w:r>
    </w:p>
    <w:p>
      <w:pPr>
        <w:pStyle w:val="Abstract"/>
      </w:pPr>
      <w:r>
        <w:t xml:space="preserve">Health 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Leadership turnover, workforce shortages, and widespread intent to leave among informatics specialists systematically erase the tacit knowledge required to navigate complex clinical data schemas, trapping organizations in a cycle where knowledge loss outpaces knowledge capture.</w:t>
      </w:r>
    </w:p>
    <w:p>
      <w:pPr>
        <w:pStyle w:val="Abstract"/>
      </w:pPr>
      <w:r>
        <w:t xml:space="preserve">Viewed through Nonaka’s SECI (Socialization, Externalization, Combination, Internalization)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w:t>
      </w:r>
    </w:p>
    <w:p>
      <w:pPr>
        <w:pStyle w:val="Abstract"/>
      </w:pPr>
      <w:r>
        <w:t xml:space="preserve">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Decoupling analytical capability from individual tenure lets analytics maturity advance even as the workforce evolves. This paper proposes and theoretically motivates the framework; empirical validation is deferred to a companion study.</w:t>
      </w:r>
    </w:p>
    <w:bookmarkStart w:id="9" w:name="Xc1a6dd077806037b05f55c737839fa387d125fa"/>
    <w:p>
      <w:pPr>
        <w:pStyle w:val="Heading1"/>
      </w:pPr>
      <w:r>
        <w:t xml:space="preserve">The Triple Threat: Institutional Amnesia in Health Care Analytics</w:t>
      </w:r>
    </w:p>
    <w:p>
      <w:pPr>
        <w:pStyle w:val="FirstParagraph"/>
      </w:pPr>
      <w:r>
        <w:t xml:space="preserve">The health 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Analytics Maturity Assessment Model (AMAM)</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 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what public administration scholars term</w:t>
      </w:r>
      <w:r>
        <w:t xml:space="preserve"> </w:t>
      </w:r>
      <w:r>
        <w:rPr>
          <w:i/>
          <w:iCs/>
        </w:rPr>
        <w:t xml:space="preserve">institutional amnesia</w:t>
      </w:r>
      <w:r>
        <w:t xml:space="preserve"> </w:t>
      </w:r>
      <w:r>
        <w:t xml:space="preserve">[</w:t>
      </w:r>
      <w:hyperlink w:anchor="ref-pollitt2000">
        <w:r>
          <w:rPr>
            <w:rStyle w:val="Hyperlink"/>
          </w:rPr>
          <w:t xml:space="preserve">10</w:t>
        </w:r>
      </w:hyperlink>
      <w:r>
        <w:t xml:space="preserve">,</w:t>
      </w:r>
      <w:hyperlink w:anchor="ref-stark2019">
        <w:r>
          <w:rPr>
            <w:rStyle w:val="Hyperlink"/>
          </w:rPr>
          <w:t xml:space="preserve">11</w:t>
        </w:r>
      </w:hyperlink>
      <w:r>
        <w:t xml:space="preserve">]</w:t>
      </w:r>
      <w:r>
        <w:t xml:space="preserve"> </w:t>
      </w:r>
      <w:r>
        <w:t xml:space="preserve">and organization science studies as</w:t>
      </w:r>
      <w:r>
        <w:t xml:space="preserve"> </w:t>
      </w:r>
      <w:r>
        <w:rPr>
          <w:i/>
          <w:iCs/>
        </w:rPr>
        <w:t xml:space="preserve">organizational forgetting</w:t>
      </w:r>
      <w:r>
        <w:t xml:space="preserve"> </w:t>
      </w:r>
      <w:r>
        <w:t xml:space="preserve">[</w:t>
      </w:r>
      <w:hyperlink w:anchor="ref-deholan2004">
        <w:r>
          <w:rPr>
            <w:rStyle w:val="Hyperlink"/>
          </w:rPr>
          <w:t xml:space="preserve">12</w:t>
        </w:r>
      </w:hyperlink>
      <w:r>
        <w:t xml:space="preserve">,</w:t>
      </w:r>
      <w:hyperlink w:anchor="ref-rao2006">
        <w:r>
          <w:rPr>
            <w:rStyle w:val="Hyperlink"/>
          </w:rPr>
          <w:t xml:space="preserve">13</w:t>
        </w:r>
      </w:hyperlink>
      <w:r>
        <w:t xml:space="preserve">]</w:t>
      </w:r>
      <w:r>
        <w:t xml:space="preserve">: in health care analytics, the systematic erasure of the tacit knowledge required to interpret complex health data. In health 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14</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15</w:t>
        </w:r>
      </w:hyperlink>
      <w:r>
        <w:t xml:space="preserve">]</w:t>
      </w:r>
      <w:r>
        <w:t xml:space="preserve">. Neither accounts for the reality of the</w:t>
      </w:r>
      <w:r>
        <w:t xml:space="preserve"> </w:t>
      </w:r>
      <w:r>
        <w:t xml:space="preserve">“Great Resignation,”</w:t>
      </w:r>
      <w:r>
        <w:t xml:space="preserve"> </w:t>
      </w:r>
      <w:r>
        <w:t xml:space="preserve">where the rate of knowledge loss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16</w:t>
        </w:r>
      </w:hyperlink>
      <w:r>
        <w:t xml:space="preserve">]</w:t>
      </w:r>
      <w:r>
        <w:t xml:space="preserve">. They require overworked staff to stop working and write down what they know. In a high-burnout environment, this documentation is the first casualty. As a result, health 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17</w:t>
        </w:r>
      </w:hyperlink>
      <w:r>
        <w:t xml:space="preserve">,</w:t>
      </w:r>
      <w:hyperlink w:anchor="ref-mantas2010">
        <w:r>
          <w:rPr>
            <w:rStyle w:val="Hyperlink"/>
          </w:rPr>
          <w:t xml:space="preserve">18</w:t>
        </w:r>
      </w:hyperlink>
      <w:r>
        <w:t xml:space="preserve">]</w:t>
      </w:r>
      <w:r>
        <w:t xml:space="preserve">. A foundational 2004 study established that technical IT staff in organizations where IT is a support function, as in health care delivery, had the lowest expected tenure of any organizational category at just 2.9 years</w:t>
      </w:r>
      <w:r>
        <w:t xml:space="preserve"> </w:t>
      </w:r>
      <w:r>
        <w:t xml:space="preserve">[</w:t>
      </w:r>
      <w:hyperlink w:anchor="ref-ang2004">
        <w:r>
          <w:rPr>
            <w:rStyle w:val="Hyperlink"/>
          </w:rPr>
          <w:t xml:space="preserve">19</w:t>
        </w:r>
      </w:hyperlink>
      <w:r>
        <w:t xml:space="preserve">]</w:t>
      </w:r>
      <w:r>
        <w:t xml:space="preserve">. That this two-decade-old study remains a key benchmark is itself evidence of the crisis: the industry lacks the stability to track its own attrition. Contemporary signals, detailed below, suggest the situation has worsened.</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 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(Socialization, Externalization, Combination, Internalization) model of knowledge creation</w:t>
      </w:r>
      <w:r>
        <w:t xml:space="preserve"> </w:t>
      </w:r>
      <w:r>
        <w:t xml:space="preserve">[</w:t>
      </w:r>
      <w:hyperlink w:anchor="ref-farnese2019">
        <w:r>
          <w:rPr>
            <w:rStyle w:val="Hyperlink"/>
          </w:rPr>
          <w:t xml:space="preserve">20</w:t>
        </w:r>
      </w:hyperlink>
      <w:r>
        <w:t xml:space="preserve">]</w:t>
      </w:r>
      <w:r>
        <w:t xml:space="preserve">, informed by a narrative literature review across health care analytics maturity, workforce turnover,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21</w:t>
        </w:r>
      </w:hyperlink>
      <w:r>
        <w:t xml:space="preserve">]</w:t>
      </w:r>
      <w:r>
        <w:t xml:space="preserve">. Grey literature was retained only when no peer-reviewed equivalent existed or when it provided unique industry data. The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20</w:t>
        </w:r>
      </w:hyperlink>
      <w:r>
        <w:t xml:space="preserve">]</w:t>
      </w:r>
      <w:r>
        <w:t xml:space="preserve">. When any mode breaks down, the spiral stalls. In health care analytics, the breakdown is at the very first stage.</w:t>
      </w:r>
    </w:p>
    <w:p>
      <w:pPr>
        <w:pStyle w:val="BodyText"/>
      </w:pPr>
      <w:r>
        <w:t xml:space="preserve">The framework’s three pillars name the organizational capabilities at stake in the Triple Threat: analytics maturity, workforce agility, and technical enablement. This structure aligns with established models across health care informatics and knowledge management (Table 1):</w:t>
      </w:r>
    </w:p>
    <w:p>
      <w:pPr>
        <w:pStyle w:val="TableCaption"/>
      </w:pPr>
      <w:r>
        <w:t xml:space="preserve">Table 1. Framework alignment with established models.</w:t>
      </w:r>
      <w:r>
        <w:t xml:space="preserve"> </w:t>
      </w:r>
    </w:p>
    <w:tbl>
      <w:tblPr>
        <w:tblStyle w:val="Table"/>
        <w:tblW w:type="pct" w:w="5000"/>
        <w:tblLayout w:type="fixed"/>
        <w:tblLook w:firstRow="1" w:lastRow="0" w:firstColumn="0" w:lastColumn="0" w:noHBand="0" w:noVBand="0" w:val="0020"/>
        <w:tblCaption w:val="Table 1. 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20</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20</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22</w:t>
        </w:r>
      </w:hyperlink>
      <w:r>
        <w:t xml:space="preserve">]</w:t>
      </w:r>
      <w:r>
        <w:t xml:space="preserve">. It is, in effect, an apprenticeship model requiring years of shared practice.</w:t>
      </w:r>
    </w:p>
    <w:p>
      <w:pPr>
        <w:pStyle w:val="BodyText"/>
      </w:pPr>
      <w:r>
        <w:t xml:space="preserve">In the current health 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23</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17</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24</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25</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26</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27</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22</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analytics workflow rather than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28</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29</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laundered hallucinations while capturing expert knowledge.</w:t>
      </w:r>
    </w:p>
    <w:p>
      <w:pPr>
        <w:pStyle w:val="CaptionedFigure"/>
      </w:pPr>
      <w:r>
        <w:drawing>
          <wp:inline>
            <wp:extent cx="4613700" cy="5258943"/>
            <wp:effectExtent b="0" l="0" r="0" t="0"/>
            <wp:docPr descr="Figure 1. Human-in-the-Loop Knowledge Governance (HITL-KG) architecture."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58943"/>
                    </a:xfrm>
                    <a:prstGeom prst="rect">
                      <a:avLst/>
                    </a:prstGeom>
                    <a:noFill/>
                    <a:ln w="9525">
                      <a:noFill/>
                      <a:headEnd/>
                      <a:tailEnd/>
                    </a:ln>
                  </pic:spPr>
                </pic:pic>
              </a:graphicData>
            </a:graphic>
          </wp:inline>
        </w:drawing>
      </w:r>
    </w:p>
    <w:p>
      <w:pPr>
        <w:pStyle w:val="ImageCaption"/>
      </w:pPr>
      <w:r>
        <w:t xml:space="preserve">Figure 1. Human-in-the-Loop Knowledge Governance (HITL-KG) architecture.</w:t>
      </w:r>
    </w:p>
    <w:p>
      <w:pPr>
        <w:pStyle w:val="BodyText"/>
      </w:pPr>
      <w:r>
        <w:t xml:space="preserve">A clinical user’s natural language query (step 1) is translated to SQL and run against the data warehouse (steps 2-3); an expert validation gate (step 4) either returns confirmed insights (steps 5-6) or loops back for correction. Confirmed query triples enter organizational memory (step 7, dashed line), which informs future queries and curates the knowledge base (step 8), closing a continuous-learning loop in which best practices evolve rather than remain static.</w:t>
      </w:r>
    </w:p>
    <w:p>
      <w:pPr>
        <w:pStyle w:val="BodyText"/>
      </w:pPr>
      <w:r>
        <w:t xml:space="preserve">Figure 2 summarizes the corresponding six-step Validated Query Cycle, tracing queries from clinical intent through expert validation into durable organizational memory.</w:t>
      </w:r>
    </w:p>
    <w:p>
      <w:pPr>
        <w:pStyle w:val="CaptionedFigure"/>
      </w:pPr>
      <w:r>
        <w:drawing>
          <wp:inline>
            <wp:extent cx="3381271" cy="6099048"/>
            <wp:effectExtent b="0" l="0" r="0" t="0"/>
            <wp:docPr descr="Figure 2. The six-step Validated Query Cycle and its mapping to the three pillars."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Figure 2. The six-step Validated Query Cycle and its mapping to the three pillars.</w:t>
      </w:r>
    </w:p>
    <w:p>
      <w:pPr>
        <w:pStyle w:val="BodyText"/>
      </w:pPr>
      <w:r>
        <w:t xml:space="preserve">A natural language question (step 1) yields candidate SQL (step 2) that the analyst validates against the system’s explained logic (step 3), looping back if incorrect. Validated triples are stored in organizational memory (step 4), matched by future queries (step 5), and persist across staff turnover (step 6). Dashed arrows mark the pillar outcomes: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query generation, in which a conversational AI system translates the user’s natural language question into candidate SQL</w:t>
      </w:r>
      <w:r>
        <w:t xml:space="preserve"> </w:t>
      </w:r>
      <w:r>
        <w:t xml:space="preserve">[</w:t>
      </w:r>
      <w:hyperlink w:anchor="ref-lee2023">
        <w:r>
          <w:rPr>
            <w:rStyle w:val="Hyperlink"/>
          </w:rPr>
          <w:t xml:space="preserve">30</w:t>
        </w:r>
      </w:hyperlink>
      <w:r>
        <w:t xml:space="preserve">]</w:t>
      </w:r>
      <w:r>
        <w:t xml:space="preserve">,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31</w:t>
        </w:r>
      </w:hyperlink>
      <w:r>
        <w:t xml:space="preserve">,</w:t>
      </w:r>
      <w:hyperlink w:anchor="ref-mosqueirarey2023">
        <w:r>
          <w:rPr>
            <w:rStyle w:val="Hyperlink"/>
          </w:rPr>
          <w:t xml:space="preserve">32</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33</w:t>
        </w:r>
      </w:hyperlink>
      <w:r>
        <w:t xml:space="preserve">]</w:t>
      </w:r>
      <w:r>
        <w:t xml:space="preserve">, then retrieved ahead of future probabilistic generation</w:t>
      </w:r>
      <w:r>
        <w:t xml:space="preserve"> </w:t>
      </w:r>
      <w:r>
        <w:t xml:space="preserve">[</w:t>
      </w:r>
      <w:hyperlink w:anchor="ref-whittaker2008">
        <w:r>
          <w:rPr>
            <w:rStyle w:val="Hyperlink"/>
          </w:rPr>
          <w:t xml:space="preserve">34</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35</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16</w:t>
        </w:r>
      </w:hyperlink>
      <w:r>
        <w:t xml:space="preserve">,</w:t>
      </w:r>
      <w:hyperlink w:anchor="ref-goffin2011">
        <w:r>
          <w:rPr>
            <w:rStyle w:val="Hyperlink"/>
          </w:rPr>
          <w:t xml:space="preserve">26</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36</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37</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28</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38</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39</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40</w:t>
        </w:r>
      </w:hyperlink>
      <w:r>
        <w:t xml:space="preserve">,</w:t>
      </w:r>
      <w:hyperlink w:anchor="ref-langer2025">
        <w:r>
          <w:rPr>
            <w:rStyle w:val="Hyperlink"/>
          </w:rPr>
          <w:t xml:space="preserve">41</w:t>
        </w:r>
      </w:hyperlink>
      <w:r>
        <w:t xml:space="preserve">]</w:t>
      </w:r>
      <w:r>
        <w:t xml:space="preserve">. Health care maturity remains chronically low. Assessments reveal only 26 organizations worldwide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The corollary is that the vast majority of organizations remain at the lower stages,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so poor data quality goes unrecognized. The clinical consequences are measurable: one Medicare accountable care organization (ACO) that implemented analytics to overcome electronic health record (EHR) fragmentation reduced readmission rates from 24% to 17.8% and achieved US $1.6 million in cost savings</w:t>
      </w:r>
      <w:r>
        <w:t xml:space="preserve"> </w:t>
      </w:r>
      <w:r>
        <w:t xml:space="preserve">[</w:t>
      </w:r>
      <w:hyperlink w:anchor="ref-latrella2024">
        <w:r>
          <w:rPr>
            <w:rStyle w:val="Hyperlink"/>
          </w:rPr>
          <w:t xml:space="preserve">47</w:t>
        </w:r>
      </w:hyperlink>
      <w:r>
        <w:t xml:space="preserve">]</w:t>
      </w:r>
      <w:r>
        <w:t xml:space="preserv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48</w:t>
        </w:r>
      </w:hyperlink>
      <w:r>
        <w:t xml:space="preserve">,</w:t>
      </w:r>
      <w:hyperlink w:anchor="ref-kamble2019">
        <w:r>
          <w:rPr>
            <w:rStyle w:val="Hyperlink"/>
          </w:rPr>
          <w:t xml:space="preserve">49</w:t>
        </w:r>
      </w:hyperlink>
      <w:r>
        <w:t xml:space="preserve">]</w:t>
      </w:r>
      <w:r>
        <w:t xml:space="preserve">. The trap thus compounds: each year of delayed investment widens the gap between what the organization could know and what it does know.</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50</w:t>
        </w:r>
      </w:hyperlink>
      <w:r>
        <w:t xml:space="preserve">,</w:t>
      </w:r>
      <w:hyperlink w:anchor="ref-tessarini2021">
        <w:r>
          <w:rPr>
            <w:rStyle w:val="Hyperlink"/>
          </w:rPr>
          <w:t xml:space="preserve">51</w:t>
        </w:r>
      </w:hyperlink>
      <w:r>
        <w:t xml:space="preserve">]</w:t>
      </w:r>
      <w:r>
        <w:t xml:space="preserve">. In health 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24</w:t>
        </w:r>
      </w:hyperlink>
      <w:r>
        <w:t xml:space="preserve">,</w:t>
      </w:r>
      <w:hyperlink w:anchor="ref-wynendaele2025">
        <w:r>
          <w:rPr>
            <w:rStyle w:val="Hyperlink"/>
          </w:rPr>
          <w:t xml:space="preserve">52</w:t>
        </w:r>
      </w:hyperlink>
      <w:r>
        <w:t xml:space="preserve">]</w:t>
      </w:r>
      <w:r>
        <w:t xml:space="preserve">. In clinical informatics specifically, replacement costs range from US $50,000 to US $230,000 per departing employee, with a loss of 39 staff members in a single department in 1 year incurring a total cost of up to US $8.97 million</w:t>
      </w:r>
      <w:r>
        <w:t xml:space="preserve"> </w:t>
      </w:r>
      <w:r>
        <w:t xml:space="preserve">[</w:t>
      </w:r>
      <w:hyperlink w:anchor="ref-hackney2024">
        <w:r>
          <w:rPr>
            <w:rStyle w:val="Hyperlink"/>
          </w:rPr>
          <w:t xml:space="preserve">53</w:t>
        </w:r>
      </w:hyperlink>
      <w:r>
        <w:t xml:space="preserve">]</w:t>
      </w:r>
      <w:r>
        <w:t xml:space="preserve">. With 30% of new employees leaving within their first year</w:t>
      </w:r>
      <w:r>
        <w:t xml:space="preserve"> </w:t>
      </w:r>
      <w:r>
        <w:t xml:space="preserve">[</w:t>
      </w:r>
      <w:hyperlink w:anchor="ref-nsi2025">
        <w:r>
          <w:rPr>
            <w:rStyle w:val="Hyperlink"/>
          </w:rPr>
          <w:t xml:space="preserve">23</w:t>
        </w:r>
      </w:hyperlink>
      <w:r>
        <w:t xml:space="preserve">]</w:t>
      </w:r>
      <w:r>
        <w:t xml:space="preserve">, health 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17</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54</w:t>
        </w:r>
      </w:hyperlink>
      <w:r>
        <w:t xml:space="preserve">,</w:t>
      </w:r>
      <w:hyperlink w:anchor="ref-banihani2020">
        <w:r>
          <w:rPr>
            <w:rStyle w:val="Hyperlink"/>
          </w:rPr>
          <w:t xml:space="preserve">55</w:t>
        </w:r>
      </w:hyperlink>
      <w:r>
        <w:t xml:space="preserve">]</w:t>
      </w:r>
      <w:r>
        <w:t xml:space="preserve">. NL2SQL technology has matured along a clear accuracy gradient: general-purpose models achieve approximately 65% execution accuracy on health care-specific benchmarks such as MIMICSQL</w:t>
      </w:r>
      <w:r>
        <w:t xml:space="preserve"> </w:t>
      </w:r>
      <w:r>
        <w:t xml:space="preserve">[</w:t>
      </w:r>
      <w:hyperlink w:anchor="ref-blaskovic2025">
        <w:r>
          <w:rPr>
            <w:rStyle w:val="Hyperlink"/>
          </w:rPr>
          <w:t xml:space="preserve">56</w:t>
        </w:r>
      </w:hyperlink>
      <w:r>
        <w:t xml:space="preserve">]</w:t>
      </w:r>
      <w:r>
        <w:t xml:space="preserve">; domain-adapted systems like MedT5SQL reach 80%</w:t>
      </w:r>
      <w:r>
        <w:t xml:space="preserve"> </w:t>
      </w:r>
      <w:r>
        <w:t xml:space="preserve">[</w:t>
      </w:r>
      <w:hyperlink w:anchor="ref-marshan2024">
        <w:r>
          <w:rPr>
            <w:rStyle w:val="Hyperlink"/>
          </w:rPr>
          <w:t xml:space="preserve">57</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58</w:t>
        </w:r>
      </w:hyperlink>
      <w:r>
        <w:t xml:space="preserve">]</w:t>
      </w:r>
      <w:r>
        <w:t xml:space="preserve">. While insufficient for unsupervised clinical deployment</w:t>
      </w:r>
      <w:r>
        <w:t xml:space="preserve"> </w:t>
      </w:r>
      <w:r>
        <w:t xml:space="preserve">[</w:t>
      </w:r>
      <w:hyperlink w:anchor="ref-ziletti2024">
        <w:r>
          <w:rPr>
            <w:rStyle w:val="Hyperlink"/>
          </w:rPr>
          <w:t xml:space="preserve">38</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59</w:t>
        </w:r>
      </w:hyperlink>
      <w:r>
        <w:t xml:space="preserve">]</w:t>
      </w:r>
      <w:r>
        <w:t xml:space="preserve">, reinforcing the necessity of the human-in-the-loop architecture. Health 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60</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61</w:t>
        </w:r>
      </w:hyperlink>
      <w:r>
        <w:t xml:space="preserve">–</w:t>
      </w:r>
      <w:hyperlink w:anchor="ref-arora2025">
        <w:r>
          <w:rPr>
            <w:rStyle w:val="Hyperlink"/>
          </w:rPr>
          <w:t xml:space="preserve">64</w:t>
        </w:r>
      </w:hyperlink>
      <w:r>
        <w:t xml:space="preserve">]</w:t>
      </w:r>
      <w:r>
        <w:t xml:space="preserve">. The very difficulty of making NL2SQL work correctly thus becomes a governance opportunity: it compels organizations to surface and formalize tacit knowledge that would otherwise depart with its experts.</w:t>
      </w:r>
    </w:p>
    <w:bookmarkEnd w:id="25"/>
    <w:bookmarkEnd w:id="26"/>
    <w:bookmarkStart w:id="29"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 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As noted, the maturity models and knowledge management frameworks in Table 1 assume linear progression by a stable workforce</w:t>
      </w:r>
      <w:r>
        <w:t xml:space="preserve"> </w:t>
      </w:r>
      <w:r>
        <w:t xml:space="preserve">[</w:t>
      </w:r>
      <w:hyperlink w:anchor="ref-himss2024">
        <w:r>
          <w:rPr>
            <w:rStyle w:val="Hyperlink"/>
          </w:rPr>
          <w:t xml:space="preserve">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 care found no consensus on what to measure</w:t>
      </w:r>
      <w:r>
        <w:t xml:space="preserve"> </w:t>
      </w:r>
      <w:r>
        <w:t xml:space="preserve">[</w:t>
      </w:r>
      <w:hyperlink w:anchor="ref-ignatowicz2023">
        <w:r>
          <w:rPr>
            <w:rStyle w:val="Hyperlink"/>
          </w:rPr>
          <w:t xml:space="preserve">65</w:t>
        </w:r>
      </w:hyperlink>
      <w:r>
        <w:t xml:space="preserve">]</w:t>
      </w:r>
      <w:r>
        <w:t xml:space="preserve">. Only four instruments have been developed specifically for health care, and only two have been validated</w:t>
      </w:r>
      <w:r>
        <w:t xml:space="preserve"> </w:t>
      </w:r>
      <w:r>
        <w:t xml:space="preserve">[</w:t>
      </w:r>
      <w:hyperlink w:anchor="ref-ratliff2025">
        <w:r>
          <w:rPr>
            <w:rStyle w:val="Hyperlink"/>
          </w:rPr>
          <w:t xml:space="preserve">66</w:t>
        </w:r>
      </w:hyperlink>
      <w:r>
        <w:t xml:space="preserve">]</w:t>
      </w:r>
      <w:r>
        <w:t xml:space="preserve">. The Three-Pillar Assessment addresses this gap by organizing evidence-based indicators around the domains where institutional amnesia operates, measuring not just where an organization stands but how vulnerable it is.</w:t>
      </w:r>
    </w:p>
    <w:bookmarkEnd w:id="27"/>
    <w:bookmarkStart w:id="28"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 Table 2 summarizes the nine indicators; the full rubric with scoring anchors and evidence appears in Multimedia Appendix 2.</w:t>
      </w:r>
    </w:p>
    <w:p>
      <w:pPr>
        <w:pStyle w:val="TableCaption"/>
      </w:pPr>
      <w:r>
        <w:t xml:space="preserve">Table 2. Three-Pillar Assessment Rubric indicators (full rubric with anchors in Multimedia Appendix 2).</w:t>
      </w:r>
      <w:r>
        <w:t xml:space="preserve"> </w:t>
      </w:r>
    </w:p>
    <w:tbl>
      <w:tblPr>
        <w:tblStyle w:val="Table"/>
        <w:tblW w:type="pct" w:w="5000"/>
        <w:tblLayout w:type="fixed"/>
        <w:tblLook w:firstRow="1" w:lastRow="0" w:firstColumn="0" w:lastColumn="0" w:noHBand="0" w:noVBand="0" w:val="0020"/>
        <w:tblCaption w:val="Table 2. Three-Pillar Assessment Rubric indicators (full rubric with anchors in Multimedia Appendix 2). "/>
      </w:tblPr>
      <w:tblGrid>
        <w:gridCol w:w="3960"/>
        <w:gridCol w:w="3960"/>
      </w:tblGrid>
      <w:tr>
        <w:trPr>
          <w:tblHeader w:val="on"/>
        </w:trPr>
        <w:tc>
          <w:tcPr/>
          <w:p>
            <w:pPr>
              <w:pStyle w:val="Compact"/>
              <w:jc w:val="left"/>
            </w:pPr>
            <w:r>
              <w:t xml:space="preserve">Pillar</w:t>
            </w:r>
          </w:p>
        </w:tc>
        <w:tc>
          <w:tcPr/>
          <w:p>
            <w:pPr>
              <w:pStyle w:val="Compact"/>
              <w:jc w:val="left"/>
            </w:pPr>
            <w:r>
              <w:t xml:space="preserve">Indicators</w:t>
            </w:r>
          </w:p>
        </w:tc>
      </w:tr>
      <w:tr>
        <w:tc>
          <w:tcPr/>
          <w:p>
            <w:pPr>
              <w:pStyle w:val="Compact"/>
              <w:jc w:val="left"/>
            </w:pPr>
            <w:r>
              <w:t xml:space="preserve">Analytics Maturity</w:t>
            </w:r>
          </w:p>
        </w:tc>
        <w:tc>
          <w:tcPr/>
          <w:p>
            <w:pPr>
              <w:pStyle w:val="Compact"/>
              <w:jc w:val="left"/>
            </w:pPr>
            <w:r>
              <w:t xml:space="preserve">HIMSS AMAM stage; self-service analytics; AI/NL interface</w:t>
            </w:r>
          </w:p>
        </w:tc>
      </w:tr>
      <w:tr>
        <w:tc>
          <w:tcPr/>
          <w:p>
            <w:pPr>
              <w:pStyle w:val="Compact"/>
              <w:jc w:val="left"/>
            </w:pPr>
            <w:r>
              <w:t xml:space="preserve">Workforce Agility</w:t>
            </w:r>
          </w:p>
        </w:tc>
        <w:tc>
          <w:tcPr/>
          <w:p>
            <w:pPr>
              <w:pStyle w:val="Compact"/>
              <w:jc w:val="left"/>
            </w:pPr>
            <w:r>
              <w:t xml:space="preserve">First-year analytics staff turnover; leadership tenure; knowledge concentration</w:t>
            </w:r>
          </w:p>
        </w:tc>
      </w:tr>
      <w:tr>
        <w:tc>
          <w:tcPr/>
          <w:p>
            <w:pPr>
              <w:pStyle w:val="Compact"/>
              <w:jc w:val="left"/>
            </w:pPr>
            <w:r>
              <w:t xml:space="preserve">Technical Enablement</w:t>
            </w:r>
          </w:p>
        </w:tc>
        <w:tc>
          <w:tcPr/>
          <w:p>
            <w:pPr>
              <w:pStyle w:val="Compact"/>
              <w:jc w:val="left"/>
            </w:pPr>
            <w:r>
              <w:t xml:space="preserve">Data access; interoperability; schema coupling</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 that detects data and schema drift</w:t>
      </w:r>
      <w:r>
        <w:t xml:space="preserve"> </w:t>
      </w:r>
      <w:r>
        <w:t xml:space="preserve">[</w:t>
      </w:r>
      <w:hyperlink w:anchor="ref-battula2025">
        <w:r>
          <w:rPr>
            <w:rStyle w:val="Hyperlink"/>
          </w:rPr>
          <w:t xml:space="preserve">35</w:t>
        </w:r>
      </w:hyperlink>
      <w:r>
        <w:t xml:space="preserve">,</w:t>
      </w:r>
      <w:hyperlink w:anchor="ref-valiaiev2025">
        <w:r>
          <w:rPr>
            <w:rStyle w:val="Hyperlink"/>
          </w:rPr>
          <w:t xml:space="preserve">67</w:t>
        </w:r>
      </w:hyperlink>
      <w:r>
        <w:t xml:space="preserve">,</w:t>
      </w:r>
      <w:hyperlink w:anchor="ref-mannapur2025">
        <w:r>
          <w:rPr>
            <w:rStyle w:val="Hyperlink"/>
          </w:rPr>
          <w:t xml:space="preserve">68</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69</w:t>
        </w:r>
      </w:hyperlink>
      <w:r>
        <w:t xml:space="preserve">,</w:t>
      </w:r>
      <w:hyperlink w:anchor="ref-kottam2025">
        <w:r>
          <w:rPr>
            <w:rStyle w:val="Hyperlink"/>
          </w:rPr>
          <w:t xml:space="preserve">70</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28"/>
    <w:bookmarkEnd w:id="29"/>
    <w:bookmarkStart w:id="30"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validated query triple records the best available understanding of how a business question maps to a data operation at that moment; the validation is time-stamped and contextual, not permanent. Critically, as Alukal and Manos</w:t>
      </w:r>
      <w:r>
        <w:t xml:space="preserve"> </w:t>
      </w:r>
      <w:r>
        <w:t xml:space="preserve">[</w:t>
      </w:r>
      <w:hyperlink w:anchor="ref-alukal2006">
        <w:r>
          <w:rPr>
            <w:rStyle w:val="Hyperlink"/>
          </w:rPr>
          <w:t xml:space="preserve">71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The next expert, veteran or mid-career hire, inherits a baseline to refine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the organization cannot slide below the previously validated standard. The ratchet does not guarantee forward progress, but it prevents the catastrophic backsliding that is the central failure mode of institutional amnesia.</w:t>
      </w:r>
    </w:p>
    <w:p>
      <w:pPr>
        <w:pStyle w:val="BodyText"/>
      </w:pPr>
      <w:r>
        <w:t xml:space="preserve">Real-world evidence supports this: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72</w:t>
        </w:r>
      </w:hyperlink>
      <w:r>
        <w:t xml:space="preserve">]</w:t>
      </w:r>
      <w:r>
        <w:t xml:space="preserve">. Those codified standards survived staff turnover because they existed as organizational artifacts rather than knowledge held solely by their creators. The HITL-KG validated query library serves an analogous function: it encodes analytical decisions into durable, retrievable structures that persist independent of any single analyst’s tenure.</w:t>
      </w:r>
    </w:p>
    <w:p>
      <w:pPr>
        <w:pStyle w:val="BodyText"/>
      </w:pPr>
      <w:r>
        <w:t xml:space="preserve">The Validator Paradox is not fully resolved: below a minimum viable expertise threshold,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73</w:t>
        </w:r>
      </w:hyperlink>
      <w:r>
        <w:t xml:space="preserve">,</w:t>
      </w:r>
      <w:hyperlink w:anchor="ref-labkoff2024">
        <w:r>
          <w:rPr>
            <w:rStyle w:val="Hyperlink"/>
          </w:rPr>
          <w:t xml:space="preserve">74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(the default).</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logging it for periodic audit.</w:t>
      </w:r>
    </w:p>
    <w:p>
      <w:pPr>
        <w:pStyle w:val="BodyText"/>
      </w:pPr>
      <w:r>
        <w:t xml:space="preserve">Organizational governance requirements include who can validate queries (domain expertise thresholds), review workflows for high-stakes queries, query versioning as schemas evolve, and retrieval policies. Drawing on established master data governance practice</w:t>
      </w:r>
      <w:r>
        <w:t xml:space="preserve"> </w:t>
      </w:r>
      <w:r>
        <w:t xml:space="preserve">[</w:t>
      </w:r>
      <w:hyperlink w:anchor="ref-loshin2010">
        <w:r>
          <w:rPr>
            <w:rStyle w:val="Hyperlink"/>
          </w:rPr>
          <w:t xml:space="preserve">75</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Only these certified triples serve as official standards, mitigating Shadow IT risks</w:t>
      </w:r>
      <w:r>
        <w:t xml:space="preserve"> </w:t>
      </w:r>
      <w:r>
        <w:t xml:space="preserve">[</w:t>
      </w:r>
      <w:hyperlink w:anchor="ref-zimmermann2017">
        <w:r>
          <w:rPr>
            <w:rStyle w:val="Hyperlink"/>
          </w:rPr>
          <w:t xml:space="preserve">76</w:t>
        </w:r>
      </w:hyperlink>
      <w:r>
        <w:t xml:space="preserve">]</w:t>
      </w:r>
      <w:r>
        <w:t xml:space="preserve"> </w:t>
      </w:r>
      <w:r>
        <w:t xml:space="preserve">while preserving analytical agility.</w:t>
      </w:r>
    </w:p>
    <w:bookmarkEnd w:id="30"/>
    <w:bookmarkStart w:id="31"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errors arrive dressed in the language of expertise,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38</w:t>
        </w:r>
      </w:hyperlink>
      <w:r>
        <w:t xml:space="preserve">]</w:t>
      </w:r>
      <w:r>
        <w:t xml:space="preserve">, a design pattern borrowed from clinical decision-making and safety engineering. Requiring the AI to explain its reasoning</w:t>
      </w:r>
      <w:r>
        <w:t xml:space="preserve"> </w:t>
      </w:r>
      <w:r>
        <w:rPr>
          <w:i/>
          <w:iCs/>
        </w:rPr>
        <w:t xml:space="preserve">before</w:t>
      </w:r>
      <w:r>
        <w:t xml:space="preserve"> </w:t>
      </w:r>
      <w:r>
        <w:t xml:space="preserve">presenting results forces the validator into System 2 (analytical, deliberate) thinking rather than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77</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78</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79</w:t>
        </w:r>
      </w:hyperlink>
      <w:r>
        <w:t xml:space="preserve">]</w:t>
      </w:r>
      <w:r>
        <w:t xml:space="preserve">. These gains are conditional on well-designed interaction</w:t>
      </w:r>
      <w:r>
        <w:t xml:space="preserve"> </w:t>
      </w:r>
      <w:r>
        <w:t xml:space="preserve">[</w:t>
      </w:r>
      <w:hyperlink w:anchor="ref-ning2024">
        <w:r>
          <w:rPr>
            <w:rStyle w:val="Hyperlink"/>
          </w:rPr>
          <w:t xml:space="preserve">80</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exceptionally safe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1"/>
    <w:bookmarkStart w:id="32"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81</w:t>
        </w:r>
      </w:hyperlink>
      <w:r>
        <w:t xml:space="preserve">,</w:t>
      </w:r>
      <w:hyperlink w:anchor="ref-strickland2019">
        <w:r>
          <w:rPr>
            <w:rStyle w:val="Hyperlink"/>
          </w:rPr>
          <w:t xml:space="preserve">82</w:t>
        </w:r>
      </w:hyperlink>
      <w:r>
        <w:t xml:space="preserve">]</w:t>
      </w:r>
      <w:r>
        <w:t xml:space="preserve">, Haven</w:t>
      </w:r>
      <w:r>
        <w:t xml:space="preserve"> </w:t>
      </w:r>
      <w:r>
        <w:t xml:space="preserve">[</w:t>
      </w:r>
      <w:hyperlink w:anchor="ref-lavito2021">
        <w:r>
          <w:rPr>
            <w:rStyle w:val="Hyperlink"/>
          </w:rPr>
          <w:t xml:space="preserve">83</w:t>
        </w:r>
      </w:hyperlink>
      <w:r>
        <w:t xml:space="preserve">,</w:t>
      </w:r>
      <w:hyperlink w:anchor="ref-acchiardo2021">
        <w:r>
          <w:rPr>
            <w:rStyle w:val="Hyperlink"/>
          </w:rPr>
          <w:t xml:space="preserve">84</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82</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17</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3"/>
    <w:bookmarkStart w:id="34" w:name="implications-and-future-research"/>
    <w:p>
      <w:pPr>
        <w:pStyle w:val="Heading1"/>
      </w:pPr>
      <w:r>
        <w:t xml:space="preserve">Implications and Future Research</w:t>
      </w:r>
    </w:p>
    <w:p>
      <w:pPr>
        <w:pStyle w:val="FirstParagraph"/>
      </w:pPr>
      <w:r>
        <w:t xml:space="preserve">The crisis of Institutional Amnesia in health 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will be needed to test these claims across diverse organizational, regulatory, and data environments.</w:t>
      </w:r>
    </w:p>
    <w:bookmarkEnd w:id="34"/>
    <w:bookmarkStart w:id="35"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5"/>
    <w:bookmarkStart w:id="36"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6"/>
    <w:bookmarkStart w:id="37"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 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t xml:space="preserve">Data Availability</w:t>
      </w:r>
    </w:p>
    <w:p>
      <w:pPr>
        <w:pStyle w:val="FirstParagraph"/>
      </w:pPr>
      <w:r>
        <w:t xml:space="preserve">Data sharing is not applicable to this article as no data sets were generated or analyzed during this study. All data cited are from publicly available peer-reviewed publications, industry reports, and academic theses referenced in the bibliography. The manuscript source, build pipeline, and literature review code generated for this work are archived on Zenodo and available at https://doi.org/10.5281/zenodo.18264359</w:t>
      </w:r>
    </w:p>
    <w:bookmarkEnd w:id="38"/>
    <w:bookmarkStart w:id="39" w:name="funding"/>
    <w:p>
      <w:pPr>
        <w:pStyle w:val="Heading1"/>
      </w:pPr>
      <w:r>
        <w:t xml:space="preserve">Funding</w:t>
      </w:r>
    </w:p>
    <w:p>
      <w:pPr>
        <w:pStyle w:val="FirstParagraph"/>
      </w:pPr>
      <w:r>
        <w:t xml:space="preserve">Yuimedi, Inc. provided financial support for the author’s time researching and writing this manuscript.</w:t>
      </w:r>
    </w:p>
    <w:bookmarkEnd w:id="39"/>
    <w:bookmarkStart w:id="40"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0"/>
    <w:bookmarkStart w:id="209" w:name="references"/>
    <w:p>
      <w:pPr>
        <w:pStyle w:val="Heading1"/>
      </w:pPr>
      <w:r>
        <w:t xml:space="preserve">References</w:t>
      </w:r>
    </w:p>
    <w:bookmarkStart w:id="208" w:name="refs"/>
    <w:bookmarkStart w:id="42"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1">
        <w:r>
          <w:rPr>
            <w:rStyle w:val="Hyperlink"/>
          </w:rPr>
          <w:t xml:space="preserve">https://www.himss.org/maturity-models/amam/</w:t>
        </w:r>
      </w:hyperlink>
    </w:p>
    <w:bookmarkEnd w:id="42"/>
    <w:bookmarkStart w:id="44" w:name="ref-himss2024news"/>
    <w:p>
      <w:pPr>
        <w:pStyle w:val="Bibliography"/>
      </w:pPr>
      <w:r>
        <w:t xml:space="preserve">2.</w:t>
      </w:r>
      <w:r>
        <w:t xml:space="preserve"> </w:t>
      </w:r>
      <w:r>
        <w:t xml:space="preserve">	</w:t>
      </w:r>
      <w:r>
        <w:t xml:space="preserve">Healthcare IT News.</w:t>
      </w:r>
      <w:r>
        <w:t xml:space="preserve"> </w:t>
      </w:r>
      <w:r>
        <w:t xml:space="preserve">At HIMSS24 APAC, the Adoption Model for Analytics Maturity gets facelift</w:t>
      </w:r>
      <w:r>
        <w:t xml:space="preserve">. Published online 2024.</w:t>
      </w:r>
      <w:r>
        <w:t xml:space="preserve"> </w:t>
      </w:r>
      <w:hyperlink r:id="rId43">
        <w:r>
          <w:rPr>
            <w:rStyle w:val="Hyperlink"/>
          </w:rPr>
          <w:t xml:space="preserve">https://www.healthcareitnews.com/news/asia/himss24-apac-adoption-model-analytics-maturity-gets-facelift</w:t>
        </w:r>
      </w:hyperlink>
    </w:p>
    <w:bookmarkEnd w:id="44"/>
    <w:bookmarkStart w:id="46" w:name="ref-gal2019"/>
    <w:p>
      <w:pPr>
        <w:pStyle w:val="Bibliography"/>
      </w:pPr>
      <w:r>
        <w:t xml:space="preserve">3.</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5">
        <w:r>
          <w:rPr>
            <w:rStyle w:val="Hyperlink"/>
          </w:rPr>
          <w:t xml:space="preserve">https://www.nyulawreview.org/issues/volume-94-number-4/data-standardization/</w:t>
        </w:r>
      </w:hyperlink>
    </w:p>
    <w:bookmarkEnd w:id="46"/>
    <w:bookmarkStart w:id="48" w:name="ref-zhang2024"/>
    <w:p>
      <w:pPr>
        <w:pStyle w:val="Bibliography"/>
      </w:pPr>
      <w:r>
        <w:t xml:space="preserve">4.</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47">
        <w:r>
          <w:rPr>
            <w:rStyle w:val="Hyperlink"/>
          </w:rPr>
          <w:t xml:space="preserve">10.1093/jamiaopen/ooae058</w:t>
        </w:r>
      </w:hyperlink>
    </w:p>
    <w:bookmarkEnd w:id="48"/>
    <w:bookmarkStart w:id="50" w:name="ref-hong2025"/>
    <w:p>
      <w:pPr>
        <w:pStyle w:val="Bibliography"/>
      </w:pPr>
      <w:r>
        <w:t xml:space="preserve">5.</w:t>
      </w:r>
      <w:r>
        <w:t xml:space="preserve"> </w:t>
      </w:r>
      <w:r>
        <w:t xml:space="preserve">	</w:t>
      </w:r>
      <w:r>
        <w:t xml:space="preserve">Hong JH.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49">
        <w:r>
          <w:rPr>
            <w:rStyle w:val="Hyperlink"/>
          </w:rPr>
          <w:t xml:space="preserve">10.1093/jopart/muaf019</w:t>
        </w:r>
      </w:hyperlink>
    </w:p>
    <w:bookmarkEnd w:id="50"/>
    <w:bookmarkStart w:id="52"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ren2024"/>
    <w:p>
      <w:pPr>
        <w:pStyle w:val="Bibliography"/>
      </w:pPr>
      <w:r>
        <w:t xml:space="preserve">7.</w:t>
      </w:r>
      <w:r>
        <w:t xml:space="preserve"> </w:t>
      </w:r>
      <w:r>
        <w:t xml:space="preserve">	</w:t>
      </w:r>
      <w:r>
        <w:t xml:space="preserve">Ren H, Li P, Xue Y, Xin W, Yin X, Li H.</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53">
        <w:r>
          <w:rPr>
            <w:rStyle w:val="Hyperlink"/>
          </w:rPr>
          <w:t xml:space="preserve">10.1155/2024/5063998</w:t>
        </w:r>
      </w:hyperlink>
    </w:p>
    <w:bookmarkEnd w:id="54"/>
    <w:bookmarkStart w:id="56" w:name="ref-wu2024"/>
    <w:p>
      <w:pPr>
        <w:pStyle w:val="Bibliography"/>
      </w:pPr>
      <w:r>
        <w:t xml:space="preserve">8.</w:t>
      </w:r>
      <w:r>
        <w:t xml:space="preserve"> </w:t>
      </w:r>
      <w:r>
        <w:t xml:space="preserve">	</w:t>
      </w:r>
      <w:r>
        <w:t xml:space="preserve">Wu F, Lao Y, Feng Y, Zhu J, Zhang Y,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55">
        <w:r>
          <w:rPr>
            <w:rStyle w:val="Hyperlink"/>
          </w:rPr>
          <w:t xml:space="preserve">10.1002/nop2.2097</w:t>
        </w:r>
      </w:hyperlink>
    </w:p>
    <w:bookmarkEnd w:id="56"/>
    <w:bookmarkStart w:id="58" w:name="ref-rajamani2025"/>
    <w:p>
      <w:pPr>
        <w:pStyle w:val="Bibliography"/>
      </w:pPr>
      <w:r>
        <w:t xml:space="preserve">9.</w:t>
      </w:r>
      <w:r>
        <w:t xml:space="preserve"> </w:t>
      </w:r>
      <w:r>
        <w:t xml:space="preserve">	</w:t>
      </w:r>
      <w:r>
        <w:t xml:space="preserve">Rajamani S, Leider JP, Gunashekar DR, Dixon BE.</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57">
        <w:r>
          <w:rPr>
            <w:rStyle w:val="Hyperlink"/>
          </w:rPr>
          <w:t xml:space="preserve">10.1093/jamia/ocaf019</w:t>
        </w:r>
      </w:hyperlink>
    </w:p>
    <w:bookmarkEnd w:id="58"/>
    <w:bookmarkStart w:id="60" w:name="ref-pollitt2000"/>
    <w:p>
      <w:pPr>
        <w:pStyle w:val="Bibliography"/>
      </w:pPr>
      <w:r>
        <w:t xml:space="preserve">10.</w:t>
      </w:r>
      <w:r>
        <w:t xml:space="preserve"> </w:t>
      </w:r>
      <w:r>
        <w:t xml:space="preserve">	</w:t>
      </w:r>
      <w:r>
        <w:t xml:space="preserve">Pollitt C.</w:t>
      </w:r>
      <w:r>
        <w:t xml:space="preserve"> </w:t>
      </w:r>
      <w:r>
        <w:t xml:space="preserve">Institutional Amnesia: A Paradox of the ’Information Age’?</w:t>
      </w:r>
      <w:r>
        <w:t xml:space="preserve"> </w:t>
      </w:r>
      <w:r>
        <w:rPr>
          <w:i/>
          <w:iCs/>
        </w:rPr>
        <w:t xml:space="preserve">Prometheus</w:t>
      </w:r>
      <w:r>
        <w:t xml:space="preserve">. 2000;18(1):5-16. doi:</w:t>
      </w:r>
      <w:hyperlink r:id="rId59">
        <w:r>
          <w:rPr>
            <w:rStyle w:val="Hyperlink"/>
          </w:rPr>
          <w:t xml:space="preserve">10.1080/08109020050000627</w:t>
        </w:r>
      </w:hyperlink>
    </w:p>
    <w:bookmarkEnd w:id="60"/>
    <w:bookmarkStart w:id="62" w:name="ref-stark2019"/>
    <w:p>
      <w:pPr>
        <w:pStyle w:val="Bibliography"/>
      </w:pPr>
      <w:r>
        <w:t xml:space="preserve">11.</w:t>
      </w:r>
      <w:r>
        <w:t xml:space="preserve"> </w:t>
      </w:r>
      <w:r>
        <w:t xml:space="preserve">	</w:t>
      </w:r>
      <w:r>
        <w:t xml:space="preserve">Stark A, Head B.</w:t>
      </w:r>
      <w:r>
        <w:t xml:space="preserve"> </w:t>
      </w:r>
      <w:r>
        <w:t xml:space="preserve">Institutional amnesia and public policy</w:t>
      </w:r>
      <w:r>
        <w:t xml:space="preserve">.</w:t>
      </w:r>
      <w:r>
        <w:t xml:space="preserve"> </w:t>
      </w:r>
      <w:r>
        <w:rPr>
          <w:i/>
          <w:iCs/>
        </w:rPr>
        <w:t xml:space="preserve">Journal of European Public Policy</w:t>
      </w:r>
      <w:r>
        <w:t xml:space="preserve">. 2019;26(10):1521-1539. doi:</w:t>
      </w:r>
      <w:hyperlink r:id="rId61">
        <w:r>
          <w:rPr>
            <w:rStyle w:val="Hyperlink"/>
          </w:rPr>
          <w:t xml:space="preserve">10.1080/13501763.2018.1535612</w:t>
        </w:r>
      </w:hyperlink>
    </w:p>
    <w:bookmarkEnd w:id="62"/>
    <w:bookmarkStart w:id="64" w:name="ref-deholan2004"/>
    <w:p>
      <w:pPr>
        <w:pStyle w:val="Bibliography"/>
      </w:pPr>
      <w:r>
        <w:t xml:space="preserve">12.</w:t>
      </w:r>
      <w:r>
        <w:t xml:space="preserve"> </w:t>
      </w:r>
      <w:r>
        <w:t xml:space="preserve">	</w:t>
      </w:r>
      <w:r>
        <w:t xml:space="preserve">de Holan PM, Phillips N</w:t>
      </w:r>
      <w:r>
        <w:t xml:space="preserve">.</w:t>
      </w:r>
      <w:r>
        <w:t xml:space="preserve"> </w:t>
      </w:r>
      <w:r>
        <w:t xml:space="preserve">Remembrance of Things Past? The Dynamics of Organizational Forgetting</w:t>
      </w:r>
      <w:r>
        <w:t xml:space="preserve">.</w:t>
      </w:r>
      <w:r>
        <w:t xml:space="preserve"> </w:t>
      </w:r>
      <w:r>
        <w:rPr>
          <w:i/>
          <w:iCs/>
        </w:rPr>
        <w:t xml:space="preserve">Management Science</w:t>
      </w:r>
      <w:r>
        <w:t xml:space="preserve">. 2004;50(11):1603-1613. doi:</w:t>
      </w:r>
      <w:hyperlink r:id="rId63">
        <w:r>
          <w:rPr>
            <w:rStyle w:val="Hyperlink"/>
          </w:rPr>
          <w:t xml:space="preserve">10.1287/mnsc.1040.0273</w:t>
        </w:r>
      </w:hyperlink>
    </w:p>
    <w:bookmarkEnd w:id="64"/>
    <w:bookmarkStart w:id="66" w:name="ref-rao2006"/>
    <w:p>
      <w:pPr>
        <w:pStyle w:val="Bibliography"/>
      </w:pPr>
      <w:r>
        <w:t xml:space="preserve">13.</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 doi:</w:t>
      </w:r>
      <w:hyperlink r:id="rId65">
        <w:r>
          <w:rPr>
            <w:rStyle w:val="Hyperlink"/>
          </w:rPr>
          <w:t xml:space="preserve">10.1057/palgrave.emr.1500057</w:t>
        </w:r>
      </w:hyperlink>
    </w:p>
    <w:bookmarkEnd w:id="66"/>
    <w:bookmarkStart w:id="68" w:name="ref-gitelman2013"/>
    <w:p>
      <w:pPr>
        <w:pStyle w:val="Bibliography"/>
      </w:pPr>
      <w:r>
        <w:t xml:space="preserve">14.</w:t>
      </w:r>
      <w:r>
        <w:t xml:space="preserve"> </w:t>
      </w:r>
      <w:r>
        <w:t xml:space="preserve">	</w:t>
      </w:r>
      <w:r>
        <w:t xml:space="preserve">, ed.Gitelman L.</w:t>
      </w:r>
      <w:r>
        <w:t xml:space="preserve"> </w:t>
      </w:r>
      <w:r>
        <w:rPr>
          <w:i/>
          <w:iCs/>
        </w:rPr>
        <w:t xml:space="preserve">"Raw Data" Is an Oxymoron</w:t>
      </w:r>
      <w:r>
        <w:t xml:space="preserve">. MIT Press; 2013. doi:</w:t>
      </w:r>
      <w:hyperlink r:id="rId67">
        <w:r>
          <w:rPr>
            <w:rStyle w:val="Hyperlink"/>
          </w:rPr>
          <w:t xml:space="preserve">10.7551/mitpress/9302.001.0001</w:t>
        </w:r>
      </w:hyperlink>
    </w:p>
    <w:bookmarkEnd w:id="68"/>
    <w:bookmarkStart w:id="70" w:name="ref-wang2020"/>
    <w:p>
      <w:pPr>
        <w:pStyle w:val="Bibliography"/>
      </w:pPr>
      <w:r>
        <w:t xml:space="preserve">15.</w:t>
      </w:r>
      <w:r>
        <w:t xml:space="preserve"> </w:t>
      </w:r>
      <w:r>
        <w:t xml:space="preserve">	</w:t>
      </w:r>
      <w:r>
        <w:t xml:space="preserve">Wang P, Shi T, Reddy CK.</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9">
        <w:r>
          <w:rPr>
            <w:rStyle w:val="Hyperlink"/>
          </w:rPr>
          <w:t xml:space="preserve">10.1145/3366423.3380120</w:t>
        </w:r>
      </w:hyperlink>
    </w:p>
    <w:bookmarkEnd w:id="70"/>
    <w:bookmarkStart w:id="72" w:name="ref-mayo2016"/>
    <w:p>
      <w:pPr>
        <w:pStyle w:val="Bibliography"/>
      </w:pPr>
      <w:r>
        <w:t xml:space="preserve">16.</w:t>
      </w:r>
      <w:r>
        <w:t xml:space="preserve"> </w:t>
      </w:r>
      <w:r>
        <w:t xml:space="preserve">	</w:t>
      </w:r>
      <w:r>
        <w:t xml:space="preserve">Mayo CS, Deasy JO, Chera BS, Freymann J, Kirby JS, Hardenberg PH.</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71">
        <w:r>
          <w:rPr>
            <w:rStyle w:val="Hyperlink"/>
          </w:rPr>
          <w:t xml:space="preserve">10.1016/j.ijrobp.2015.12.355</w:t>
        </w:r>
      </w:hyperlink>
    </w:p>
    <w:bookmarkEnd w:id="72"/>
    <w:bookmarkStart w:id="74" w:name="ref-ledikwe2013"/>
    <w:p>
      <w:pPr>
        <w:pStyle w:val="Bibliography"/>
      </w:pPr>
      <w:r>
        <w:t xml:space="preserve">17.</w:t>
      </w:r>
      <w:r>
        <w:t xml:space="preserve"> </w:t>
      </w:r>
      <w:r>
        <w:t xml:space="preserve">	</w:t>
      </w:r>
      <w:r>
        <w:t xml:space="preserve">Ledikwe JH, Reason LL, Burnett SM, et al.</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3">
        <w:r>
          <w:rPr>
            <w:rStyle w:val="Hyperlink"/>
          </w:rPr>
          <w:t xml:space="preserve">10.1186/1478-4491-11-35</w:t>
        </w:r>
      </w:hyperlink>
    </w:p>
    <w:bookmarkEnd w:id="74"/>
    <w:bookmarkStart w:id="76" w:name="ref-mantas2010"/>
    <w:p>
      <w:pPr>
        <w:pStyle w:val="Bibliography"/>
      </w:pPr>
      <w:r>
        <w:t xml:space="preserve">18.</w:t>
      </w:r>
      <w:r>
        <w:t xml:space="preserve"> </w:t>
      </w:r>
      <w:r>
        <w:t xml:space="preserve">	</w:t>
      </w:r>
      <w:r>
        <w:t xml:space="preserve">Mantas J, Ammenwerth E, Demiris G, et al.</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75">
        <w:r>
          <w:rPr>
            <w:rStyle w:val="Hyperlink"/>
          </w:rPr>
          <w:t xml:space="preserve">10.3414/ME5119</w:t>
        </w:r>
      </w:hyperlink>
    </w:p>
    <w:bookmarkEnd w:id="76"/>
    <w:bookmarkStart w:id="78" w:name="ref-ang2004"/>
    <w:p>
      <w:pPr>
        <w:pStyle w:val="Bibliography"/>
      </w:pPr>
      <w:r>
        <w:t xml:space="preserve">19.</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7">
        <w:r>
          <w:rPr>
            <w:rStyle w:val="Hyperlink"/>
          </w:rPr>
          <w:t xml:space="preserve">10.1145/1017114.1017118</w:t>
        </w:r>
      </w:hyperlink>
    </w:p>
    <w:bookmarkEnd w:id="78"/>
    <w:bookmarkStart w:id="80" w:name="ref-farnese2019"/>
    <w:p>
      <w:pPr>
        <w:pStyle w:val="Bibliography"/>
      </w:pPr>
      <w:r>
        <w:t xml:space="preserve">20.</w:t>
      </w:r>
      <w:r>
        <w:t xml:space="preserve"> </w:t>
      </w:r>
      <w:r>
        <w:t xml:space="preserve">	</w:t>
      </w:r>
      <w:r>
        <w:t xml:space="preserve">Farnese ML, Barbieri B, Chirumbolo A, Patriotta G.</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9">
        <w:r>
          <w:rPr>
            <w:rStyle w:val="Hyperlink"/>
          </w:rPr>
          <w:t xml:space="preserve">10.3389/fpsyg.2019.02730</w:t>
        </w:r>
      </w:hyperlink>
    </w:p>
    <w:bookmarkEnd w:id="80"/>
    <w:bookmarkStart w:id="8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81">
        <w:r>
          <w:rPr>
            <w:rStyle w:val="Hyperlink"/>
          </w:rPr>
          <w:t xml:space="preserve">https://fac.flinders.edu.au/dspace/api/core/bitstreams/e94a96eb-0334-4300-8880-c836d4d9a676/content</w:t>
        </w:r>
      </w:hyperlink>
    </w:p>
    <w:bookmarkEnd w:id="82"/>
    <w:bookmarkStart w:id="84" w:name="ref-foos2006"/>
    <w:p>
      <w:pPr>
        <w:pStyle w:val="Bibliography"/>
      </w:pPr>
      <w:r>
        <w:t xml:space="preserve">22.</w:t>
      </w:r>
      <w:r>
        <w:t xml:space="preserve"> </w:t>
      </w:r>
      <w:r>
        <w:t xml:space="preserve">	</w:t>
      </w:r>
      <w:r>
        <w:t xml:space="preserve">Foos T, Schum G, Rothenberg S.</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3">
        <w:r>
          <w:rPr>
            <w:rStyle w:val="Hyperlink"/>
          </w:rPr>
          <w:t xml:space="preserve">10.1108/13673270610650067</w:t>
        </w:r>
      </w:hyperlink>
    </w:p>
    <w:bookmarkEnd w:id="84"/>
    <w:bookmarkStart w:id="86" w:name="ref-nsi2025"/>
    <w:p>
      <w:pPr>
        <w:pStyle w:val="Bibliography"/>
      </w:pPr>
      <w:r>
        <w:t xml:space="preserve">23.</w:t>
      </w:r>
      <w:r>
        <w:t xml:space="preserve"> </w:t>
      </w:r>
      <w:r>
        <w:t xml:space="preserve">	</w:t>
      </w:r>
      <w:r>
        <w:t xml:space="preserve">NSI Nursing Solutions.</w:t>
      </w:r>
      <w:r>
        <w:t xml:space="preserve"> </w:t>
      </w:r>
      <w:r>
        <w:rPr>
          <w:i/>
          <w:iCs/>
        </w:rPr>
        <w:t xml:space="preserve">2026 NSI National Health Care Retention &amp; RN Staffing Report</w:t>
      </w:r>
      <w:r>
        <w:t xml:space="preserve">. NSI Nursing Solutions; 2026.</w:t>
      </w:r>
      <w:r>
        <w:t xml:space="preserve"> </w:t>
      </w:r>
      <w:hyperlink r:id="rId85">
        <w:r>
          <w:rPr>
            <w:rStyle w:val="Hyperlink"/>
          </w:rPr>
          <w:t xml:space="preserve">https://www.nsinursingsolutions.com/documents/library/nsi_national_health_care_retention_report.pdf</w:t>
        </w:r>
      </w:hyperlink>
    </w:p>
    <w:bookmarkEnd w:id="86"/>
    <w:bookmarkStart w:id="88" w:name="ref-massingham2018"/>
    <w:p>
      <w:pPr>
        <w:pStyle w:val="Bibliography"/>
      </w:pPr>
      <w:r>
        <w:t xml:space="preserve">24.</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25.</w:t>
      </w:r>
      <w:r>
        <w:t xml:space="preserve"> </w:t>
      </w:r>
      <w:r>
        <w:t xml:space="preserve">	</w:t>
      </w:r>
      <w:r>
        <w:t xml:space="preserve">Zhang W, Zhang W, Daim T, Yalçın H.</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89">
        <w:r>
          <w:rPr>
            <w:rStyle w:val="Hyperlink"/>
          </w:rPr>
          <w:t xml:space="preserve">10.1108/JKM-02-2024-0203</w:t>
        </w:r>
      </w:hyperlink>
    </w:p>
    <w:bookmarkEnd w:id="90"/>
    <w:bookmarkStart w:id="92" w:name="ref-goffin2011"/>
    <w:p>
      <w:pPr>
        <w:pStyle w:val="Bibliography"/>
      </w:pPr>
      <w:r>
        <w:t xml:space="preserve">26.</w:t>
      </w:r>
      <w:r>
        <w:t xml:space="preserve"> </w:t>
      </w:r>
      <w:r>
        <w:t xml:space="preserve">	</w:t>
      </w:r>
      <w:r>
        <w:t xml:space="preserve">Goffin K, Koners U.</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himssworkforce2024"/>
    <w:p>
      <w:pPr>
        <w:pStyle w:val="Bibliography"/>
      </w:pPr>
      <w:r>
        <w:t xml:space="preserve">27.</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93">
        <w:r>
          <w:rPr>
            <w:rStyle w:val="Hyperlink"/>
          </w:rPr>
          <w:t xml:space="preserve">https://www.himss.org/resources/the-future-of-workforce/</w:t>
        </w:r>
      </w:hyperlink>
    </w:p>
    <w:bookmarkEnd w:id="94"/>
    <w:bookmarkStart w:id="96" w:name="ref-moore2018"/>
    <w:p>
      <w:pPr>
        <w:pStyle w:val="Bibliography"/>
      </w:pPr>
      <w:r>
        <w:t xml:space="preserve">28.</w:t>
      </w:r>
      <w:r>
        <w:t xml:space="preserve"> </w:t>
      </w:r>
      <w:r>
        <w:t xml:space="preserve">	</w:t>
      </w:r>
      <w:r>
        <w:t xml:space="preserve">Moore D, Ge X, Sirkin D, Stenholm D, Ju W.</w:t>
      </w:r>
      <w:r>
        <w:t xml:space="preserve"> </w:t>
      </w:r>
      <w:r>
        <w:t xml:space="preserve">ActiveNavigator: Toward real-time knowledge capture and feedback in design workspaces</w:t>
      </w:r>
      <w:r>
        <w:t xml:space="preserve">.</w:t>
      </w:r>
      <w:r>
        <w:t xml:space="preserve"> </w:t>
      </w:r>
      <w:r>
        <w:rPr>
          <w:i/>
          <w:iCs/>
        </w:rPr>
        <w:t xml:space="preserve">International Journal of Engineering Education</w:t>
      </w:r>
      <w:r>
        <w:t xml:space="preserve">. 2018;34(2):723-733.</w:t>
      </w:r>
      <w:r>
        <w:t xml:space="preserve"> </w:t>
      </w:r>
      <w:hyperlink r:id="rId95">
        <w:r>
          <w:rPr>
            <w:rStyle w:val="Hyperlink"/>
          </w:rPr>
          <w:t xml:space="preserve">https://wendyju.com/publications/18_ijee3593.pdf</w:t>
        </w:r>
      </w:hyperlink>
    </w:p>
    <w:bookmarkEnd w:id="96"/>
    <w:bookmarkStart w:id="98" w:name="ref-foss2007"/>
    <w:p>
      <w:pPr>
        <w:pStyle w:val="Bibliography"/>
      </w:pPr>
      <w:r>
        <w:t xml:space="preserve">29.</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7">
        <w:r>
          <w:rPr>
            <w:rStyle w:val="Hyperlink"/>
          </w:rPr>
          <w:t xml:space="preserve">10.1177/1350508407071859</w:t>
        </w:r>
      </w:hyperlink>
    </w:p>
    <w:bookmarkEnd w:id="98"/>
    <w:bookmarkStart w:id="100" w:name="ref-lee2023"/>
    <w:p>
      <w:pPr>
        <w:pStyle w:val="Bibliography"/>
      </w:pPr>
      <w:r>
        <w:t xml:space="preserve">30.</w:t>
      </w:r>
      <w:r>
        <w:t xml:space="preserve"> </w:t>
      </w:r>
      <w:r>
        <w:t xml:space="preserve">	</w:t>
      </w:r>
      <w:r>
        <w:t xml:space="preserve">Lee G et al.</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9">
        <w:r>
          <w:rPr>
            <w:rStyle w:val="Hyperlink"/>
          </w:rPr>
          <w:t xml:space="preserve">https://arxiv.org/abs/2301.07695</w:t>
        </w:r>
      </w:hyperlink>
    </w:p>
    <w:bookmarkEnd w:id="100"/>
    <w:bookmarkStart w:id="102" w:name="ref-bravorocca2023"/>
    <w:p>
      <w:pPr>
        <w:pStyle w:val="Bibliography"/>
      </w:pPr>
      <w:r>
        <w:t xml:space="preserve">31.</w:t>
      </w:r>
      <w:r>
        <w:t xml:space="preserve"> </w:t>
      </w:r>
      <w:r>
        <w:t xml:space="preserve">	</w:t>
      </w:r>
      <w:r>
        <w:t xml:space="preserve">Bravo Rocca G.</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2025.</w:t>
      </w:r>
      <w:r>
        <w:t xml:space="preserve"> </w:t>
      </w:r>
      <w:hyperlink r:id="rId101">
        <w:r>
          <w:rPr>
            <w:rStyle w:val="Hyperlink"/>
          </w:rPr>
          <w:t xml:space="preserve">https://hdl.handle.net/10803/695722</w:t>
        </w:r>
      </w:hyperlink>
    </w:p>
    <w:bookmarkEnd w:id="102"/>
    <w:bookmarkStart w:id="104" w:name="ref-mosqueirarey2023"/>
    <w:p>
      <w:pPr>
        <w:pStyle w:val="Bibliography"/>
      </w:pPr>
      <w:r>
        <w:t xml:space="preserve">32.</w:t>
      </w:r>
      <w:r>
        <w:t xml:space="preserve"> </w:t>
      </w:r>
      <w:r>
        <w:t xml:space="preserve">	</w:t>
      </w:r>
      <w:r>
        <w:t xml:space="preserve">Mosqueira-Rey E, Hernández-Pereira E, Alonso-Ríos D, Bobes-Bascarán J, Fernández-Leal Á. Human-in-the-loop machine learning: A state of the art.</w:t>
      </w:r>
      <w:r>
        <w:t xml:space="preserve"> </w:t>
      </w:r>
      <w:r>
        <w:rPr>
          <w:i/>
          <w:iCs/>
        </w:rPr>
        <w:t xml:space="preserve">Artificial Intelligence Review</w:t>
      </w:r>
      <w:r>
        <w:t xml:space="preserve">. 2023;56:3005-3054. doi:</w:t>
      </w:r>
      <w:hyperlink r:id="rId103">
        <w:r>
          <w:rPr>
            <w:rStyle w:val="Hyperlink"/>
          </w:rPr>
          <w:t xml:space="preserve">10.1007/s10462-022-10246-w</w:t>
        </w:r>
      </w:hyperlink>
    </w:p>
    <w:bookmarkEnd w:id="104"/>
    <w:bookmarkStart w:id="106" w:name="ref-benbya2004"/>
    <w:p>
      <w:pPr>
        <w:pStyle w:val="Bibliography"/>
      </w:pPr>
      <w:r>
        <w:t xml:space="preserve">33.</w:t>
      </w:r>
      <w:r>
        <w:t xml:space="preserve"> </w:t>
      </w:r>
      <w:r>
        <w:t xml:space="preserve">	</w:t>
      </w:r>
      <w:r>
        <w:t xml:space="preserve">Benbya H, Passiante G, Belbaly NA.</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5">
        <w:r>
          <w:rPr>
            <w:rStyle w:val="Hyperlink"/>
          </w:rPr>
          <w:t xml:space="preserve">10.1016/j.ijinfomgt.2003.12.012</w:t>
        </w:r>
      </w:hyperlink>
    </w:p>
    <w:bookmarkEnd w:id="106"/>
    <w:bookmarkStart w:id="108" w:name="ref-whittaker2008"/>
    <w:p>
      <w:pPr>
        <w:pStyle w:val="Bibliography"/>
      </w:pPr>
      <w:r>
        <w:t xml:space="preserve">34.</w:t>
      </w:r>
      <w:r>
        <w:t xml:space="preserve"> </w:t>
      </w:r>
      <w:r>
        <w:t xml:space="preserve">	</w:t>
      </w:r>
      <w:r>
        <w:t xml:space="preserve">Whittaker S, Tucker S, Swampillai K, Laban R. Design and evaluation of systems to support interaction capture and retrieval.</w:t>
      </w:r>
      <w:r>
        <w:t xml:space="preserve"> </w:t>
      </w:r>
      <w:r>
        <w:rPr>
          <w:i/>
          <w:iCs/>
        </w:rPr>
        <w:t xml:space="preserve">Personal and Ubiquitous Computing</w:t>
      </w:r>
      <w:r>
        <w:t xml:space="preserve">. 2008;12(3):197-221. doi:</w:t>
      </w:r>
      <w:hyperlink r:id="rId107">
        <w:r>
          <w:rPr>
            <w:rStyle w:val="Hyperlink"/>
          </w:rPr>
          <w:t xml:space="preserve">10.1007/s00779-007-0146-3</w:t>
        </w:r>
      </w:hyperlink>
    </w:p>
    <w:bookmarkEnd w:id="108"/>
    <w:bookmarkStart w:id="110" w:name="ref-battula2025"/>
    <w:p>
      <w:pPr>
        <w:pStyle w:val="Bibliography"/>
      </w:pPr>
      <w:r>
        <w:t xml:space="preserve">35.</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36.</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37.</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38.</w:t>
      </w:r>
      <w:r>
        <w:t xml:space="preserve"> </w:t>
      </w:r>
      <w:r>
        <w:t xml:space="preserve">	</w:t>
      </w:r>
      <w:r>
        <w:t xml:space="preserve">Ziletti A, D’Ambrosi L.</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39.</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40.</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41.</w:t>
      </w:r>
      <w:r>
        <w:t xml:space="preserve"> </w:t>
      </w:r>
      <w:r>
        <w:t xml:space="preserve">	</w:t>
      </w:r>
      <w:r>
        <w:t xml:space="preserve">Langer B.</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2">
        <w:r>
          <w:rPr>
            <w:rStyle w:val="Hyperlink"/>
          </w:rPr>
          <w:t xml:space="preserve">10.1111/1475-6773.12002</w:t>
        </w:r>
      </w:hyperlink>
    </w:p>
    <w:bookmarkEnd w:id="123"/>
    <w:bookmarkStart w:id="125"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4">
        <w:r>
          <w:rPr>
            <w:rStyle w:val="Hyperlink"/>
          </w:rPr>
          <w:t xml:space="preserve">10.2307/2393298</w:t>
        </w:r>
      </w:hyperlink>
    </w:p>
    <w:bookmarkEnd w:id="125"/>
    <w:bookmarkStart w:id="127"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6">
        <w:r>
          <w:rPr>
            <w:rStyle w:val="Hyperlink"/>
          </w:rPr>
          <w:t xml:space="preserve">https://www.healthcatalyst.com/learn/insights/healthcare-analytics-adoption-model-roadmap-analytic-maturity</w:t>
        </w:r>
      </w:hyperlink>
    </w:p>
    <w:bookmarkEnd w:id="127"/>
    <w:bookmarkStart w:id="129" w:name="ref-snowdon2024"/>
    <w:p>
      <w:pPr>
        <w:pStyle w:val="Bibliography"/>
      </w:pPr>
      <w:r>
        <w:t xml:space="preserve">45.</w:t>
      </w:r>
      <w:r>
        <w:t xml:space="preserve"> </w:t>
      </w:r>
      <w:r>
        <w:t xml:space="preserve">	</w:t>
      </w:r>
      <w:r>
        <w:t xml:space="preserve">Snowdon A, Hussein A, Danforth M, Wright A, Oakes R.</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28">
        <w:r>
          <w:rPr>
            <w:rStyle w:val="Hyperlink"/>
          </w:rPr>
          <w:t xml:space="preserve">10.2196/56316</w:t>
        </w:r>
      </w:hyperlink>
    </w:p>
    <w:bookmarkEnd w:id="129"/>
    <w:bookmarkStart w:id="131"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30">
        <w:r>
          <w:rPr>
            <w:rStyle w:val="Hyperlink"/>
          </w:rPr>
          <w:t xml:space="preserve">10.1001/jamanetworkopen.2021.1793</w:t>
        </w:r>
      </w:hyperlink>
    </w:p>
    <w:bookmarkEnd w:id="131"/>
    <w:bookmarkStart w:id="133" w:name="ref-latrella2024"/>
    <w:p>
      <w:pPr>
        <w:pStyle w:val="Bibliography"/>
      </w:pPr>
      <w:r>
        <w:t xml:space="preserve">47.</w:t>
      </w:r>
      <w:r>
        <w:t xml:space="preserve"> </w:t>
      </w:r>
      <w:r>
        <w:t xml:space="preserve">	</w:t>
      </w:r>
      <w:r>
        <w:t xml:space="preserve">Latrella M, Baldasare L.</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32">
        <w:r>
          <w:rPr>
            <w:rStyle w:val="Hyperlink"/>
          </w:rPr>
          <w:t xml:space="preserve">10.69554/RITW9729</w:t>
        </w:r>
      </w:hyperlink>
    </w:p>
    <w:bookmarkEnd w:id="133"/>
    <w:bookmarkStart w:id="135" w:name="ref-shahbaz2019"/>
    <w:p>
      <w:pPr>
        <w:pStyle w:val="Bibliography"/>
      </w:pPr>
      <w:r>
        <w:t xml:space="preserve">48.</w:t>
      </w:r>
      <w:r>
        <w:t xml:space="preserve"> </w:t>
      </w:r>
      <w:r>
        <w:t xml:space="preserve">	</w:t>
      </w:r>
      <w:r>
        <w:t xml:space="preserve">Shahbaz M, Gao C, Zhai L, Shahzad F, Hu Y.</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4">
        <w:r>
          <w:rPr>
            <w:rStyle w:val="Hyperlink"/>
          </w:rPr>
          <w:t xml:space="preserve">10.1186/s40537-019-0170-y</w:t>
        </w:r>
      </w:hyperlink>
    </w:p>
    <w:bookmarkEnd w:id="135"/>
    <w:bookmarkStart w:id="137" w:name="ref-kamble2019"/>
    <w:p>
      <w:pPr>
        <w:pStyle w:val="Bibliography"/>
      </w:pPr>
      <w:r>
        <w:t xml:space="preserve">49.</w:t>
      </w:r>
      <w:r>
        <w:t xml:space="preserve"> </w:t>
      </w:r>
      <w:r>
        <w:t xml:space="preserve">	</w:t>
      </w:r>
      <w:r>
        <w:t xml:space="preserve">Kamble SS, Gunasekaran A, Goswami M, Manda J.</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36">
        <w:r>
          <w:rPr>
            <w:rStyle w:val="Hyperlink"/>
          </w:rPr>
          <w:t xml:space="preserve">10.1080/20479700.2018.1531606</w:t>
        </w:r>
      </w:hyperlink>
    </w:p>
    <w:bookmarkEnd w:id="137"/>
    <w:bookmarkStart w:id="139" w:name="ref-breu2002"/>
    <w:p>
      <w:pPr>
        <w:pStyle w:val="Bibliography"/>
      </w:pPr>
      <w:r>
        <w:t xml:space="preserve">50.</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38">
        <w:r>
          <w:rPr>
            <w:rStyle w:val="Hyperlink"/>
          </w:rPr>
          <w:t xml:space="preserve">10.1080/02683960110132070</w:t>
        </w:r>
      </w:hyperlink>
    </w:p>
    <w:bookmarkEnd w:id="139"/>
    <w:bookmarkStart w:id="141" w:name="ref-tessarini2021"/>
    <w:p>
      <w:pPr>
        <w:pStyle w:val="Bibliography"/>
      </w:pPr>
      <w:r>
        <w:t xml:space="preserve">51.</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0">
        <w:r>
          <w:rPr>
            <w:rStyle w:val="Hyperlink"/>
          </w:rPr>
          <w:t xml:space="preserve">10.15446/innovar.v31n81.95582</w:t>
        </w:r>
      </w:hyperlink>
    </w:p>
    <w:bookmarkEnd w:id="141"/>
    <w:bookmarkStart w:id="143" w:name="ref-wynendaele2025"/>
    <w:p>
      <w:pPr>
        <w:pStyle w:val="Bibliography"/>
      </w:pPr>
      <w:r>
        <w:t xml:space="preserve">52.</w:t>
      </w:r>
      <w:r>
        <w:t xml:space="preserve"> </w:t>
      </w:r>
      <w:r>
        <w:t xml:space="preserve">	</w:t>
      </w:r>
      <w:r>
        <w:t xml:space="preserve">Wynendaele H, Clays E, Peeters E, DeJonghe Y, Van Hecke A, Trybou J.</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2">
        <w:r>
          <w:rPr>
            <w:rStyle w:val="Hyperlink"/>
          </w:rPr>
          <w:t xml:space="preserve">10.1186/s12913-025-12966-5</w:t>
        </w:r>
      </w:hyperlink>
    </w:p>
    <w:bookmarkEnd w:id="143"/>
    <w:bookmarkStart w:id="145" w:name="ref-hackney2024"/>
    <w:p>
      <w:pPr>
        <w:pStyle w:val="Bibliography"/>
      </w:pPr>
      <w:r>
        <w:t xml:space="preserve">53.</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4">
        <w:r>
          <w:rPr>
            <w:rStyle w:val="Hyperlink"/>
          </w:rPr>
          <w:t xml:space="preserve">https://search.proquest.com/openview/9a3a9ef301c01ff0129d07f685b8643f/1</w:t>
        </w:r>
      </w:hyperlink>
    </w:p>
    <w:bookmarkEnd w:id="145"/>
    <w:bookmarkStart w:id="147" w:name="ref-alpar2016"/>
    <w:p>
      <w:pPr>
        <w:pStyle w:val="Bibliography"/>
      </w:pPr>
      <w:r>
        <w:t xml:space="preserve">54.</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46">
        <w:r>
          <w:rPr>
            <w:rStyle w:val="Hyperlink"/>
          </w:rPr>
          <w:t xml:space="preserve">10.1007/s12599-016-0424-6</w:t>
        </w:r>
      </w:hyperlink>
    </w:p>
    <w:bookmarkEnd w:id="147"/>
    <w:bookmarkStart w:id="149" w:name="ref-banihani2020"/>
    <w:p>
      <w:pPr>
        <w:pStyle w:val="Bibliography"/>
      </w:pPr>
      <w:r>
        <w:t xml:space="preserve">55.</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48">
        <w:r>
          <w:rPr>
            <w:rStyle w:val="Hyperlink"/>
          </w:rPr>
          <w:t xml:space="preserve">10.24251/HICSS.2020.659</w:t>
        </w:r>
      </w:hyperlink>
    </w:p>
    <w:bookmarkEnd w:id="149"/>
    <w:bookmarkStart w:id="151" w:name="ref-blaskovic2025"/>
    <w:p>
      <w:pPr>
        <w:pStyle w:val="Bibliography"/>
      </w:pPr>
      <w:r>
        <w:t xml:space="preserve">56.</w:t>
      </w:r>
      <w:r>
        <w:t xml:space="preserve"> </w:t>
      </w:r>
      <w:r>
        <w:t xml:space="preserve">	</w:t>
      </w:r>
      <w:r>
        <w:t xml:space="preserve">Blašković L, Tanković N, Lorencin I, Baressi Šegota 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0">
        <w:r>
          <w:rPr>
            <w:rStyle w:val="Hyperlink"/>
          </w:rPr>
          <w:t xml:space="preserve">10.3390/bdcc9100256</w:t>
        </w:r>
      </w:hyperlink>
    </w:p>
    <w:bookmarkEnd w:id="151"/>
    <w:bookmarkStart w:id="153" w:name="ref-marshan2024"/>
    <w:p>
      <w:pPr>
        <w:pStyle w:val="Bibliography"/>
      </w:pPr>
      <w:r>
        <w:t xml:space="preserve">57.</w:t>
      </w:r>
      <w:r>
        <w:t xml:space="preserve"> </w:t>
      </w:r>
      <w:r>
        <w:t xml:space="preserve">	</w:t>
      </w:r>
      <w:r>
        <w:t xml:space="preserve">Marshan A, Almutairi AN, Ioannou A, Bell D, Monaghan A, Arzoky M.</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2">
        <w:r>
          <w:rPr>
            <w:rStyle w:val="Hyperlink"/>
          </w:rPr>
          <w:t xml:space="preserve">10.3389/fdata.2024.1371680</w:t>
        </w:r>
      </w:hyperlink>
    </w:p>
    <w:bookmarkEnd w:id="153"/>
    <w:bookmarkStart w:id="155" w:name="ref-chen2026graph"/>
    <w:p>
      <w:pPr>
        <w:pStyle w:val="Bibliography"/>
      </w:pPr>
      <w:r>
        <w:t xml:space="preserve">58.</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54">
        <w:r>
          <w:rPr>
            <w:rStyle w:val="Hyperlink"/>
          </w:rPr>
          <w:t xml:space="preserve">10.1016/j.patcog.2025.111800</w:t>
        </w:r>
      </w:hyperlink>
    </w:p>
    <w:bookmarkEnd w:id="155"/>
    <w:bookmarkStart w:id="157" w:name="ref-tarbell2024"/>
    <w:p>
      <w:pPr>
        <w:pStyle w:val="Bibliography"/>
      </w:pPr>
      <w:r>
        <w:t xml:space="preserve">59.</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56">
        <w:r>
          <w:rPr>
            <w:rStyle w:val="Hyperlink"/>
          </w:rPr>
          <w:t xml:space="preserve">https://pmc.ncbi.nlm.nih.gov/articles/PMC10785918/</w:t>
        </w:r>
      </w:hyperlink>
    </w:p>
    <w:bookmarkEnd w:id="157"/>
    <w:bookmarkStart w:id="159" w:name="ref-yuan2019"/>
    <w:p>
      <w:pPr>
        <w:pStyle w:val="Bibliography"/>
      </w:pPr>
      <w:r>
        <w:t xml:space="preserve">60.</w:t>
      </w:r>
      <w:r>
        <w:t xml:space="preserve"> </w:t>
      </w:r>
      <w:r>
        <w:t xml:space="preserve">	</w:t>
      </w:r>
      <w:r>
        <w:t xml:space="preserve">Yuan C, Ryan PB, Ta C,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58">
        <w:r>
          <w:rPr>
            <w:rStyle w:val="Hyperlink"/>
          </w:rPr>
          <w:t xml:space="preserve">10.1093/jamia/ocy178</w:t>
        </w:r>
      </w:hyperlink>
    </w:p>
    <w:bookmarkEnd w:id="159"/>
    <w:bookmarkStart w:id="161" w:name="ref-anthropic2025"/>
    <w:p>
      <w:pPr>
        <w:pStyle w:val="Bibliography"/>
      </w:pPr>
      <w:r>
        <w:t xml:space="preserve">61.</w:t>
      </w:r>
      <w:r>
        <w:t xml:space="preserve"> </w:t>
      </w:r>
      <w:r>
        <w:t xml:space="preserve">	</w:t>
      </w:r>
      <w:r>
        <w:t xml:space="preserve">Anthropic.</w:t>
      </w:r>
      <w:r>
        <w:t xml:space="preserve"> </w:t>
      </w:r>
      <w:r>
        <w:t xml:space="preserve">The code modernization playbook: transforming legacy systems with</w:t>
      </w:r>
      <w:r>
        <w:t xml:space="preserve"> </w:t>
      </w:r>
      <w:r>
        <w:t xml:space="preserve">AI</w:t>
      </w:r>
      <w:r>
        <w:t xml:space="preserve">. Published online 2025.</w:t>
      </w:r>
      <w:r>
        <w:t xml:space="preserve"> </w:t>
      </w:r>
      <w:hyperlink r:id="rId160">
        <w:r>
          <w:rPr>
            <w:rStyle w:val="Hyperlink"/>
          </w:rPr>
          <w:t xml:space="preserve">https://resources.anthropic.com/code-modernization-playbook</w:t>
        </w:r>
      </w:hyperlink>
    </w:p>
    <w:bookmarkEnd w:id="161"/>
    <w:bookmarkStart w:id="163" w:name="ref-hendrix1978"/>
    <w:p>
      <w:pPr>
        <w:pStyle w:val="Bibliography"/>
      </w:pPr>
      <w:r>
        <w:t xml:space="preserve">62.</w:t>
      </w:r>
      <w:r>
        <w:t xml:space="preserve"> </w:t>
      </w:r>
      <w:r>
        <w:t xml:space="preserve">	</w:t>
      </w:r>
      <w:r>
        <w:t xml:space="preserve">Hendrix GG, Sacerdoti ED, Sagalowicz D, Slocum J.</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2">
        <w:r>
          <w:rPr>
            <w:rStyle w:val="Hyperlink"/>
          </w:rPr>
          <w:t xml:space="preserve">10.1145/320251.320253</w:t>
        </w:r>
      </w:hyperlink>
    </w:p>
    <w:bookmarkEnd w:id="163"/>
    <w:bookmarkStart w:id="165" w:name="ref-ogunwole2023"/>
    <w:p>
      <w:pPr>
        <w:pStyle w:val="Bibliography"/>
      </w:pPr>
      <w:r>
        <w:t xml:space="preserve">63.</w:t>
      </w:r>
      <w:r>
        <w:t xml:space="preserve"> </w:t>
      </w:r>
      <w:r>
        <w:t xml:space="preserve">	</w:t>
      </w:r>
      <w:r>
        <w:t xml:space="preserve">Ogunwole O, Onukwulu EC.</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64">
        <w:r>
          <w:rPr>
            <w:rStyle w:val="Hyperlink"/>
          </w:rPr>
          <w:t xml:space="preserve">https://www.allmultidisciplinaryjournal.com/uploads/archives/20250306182550_MGE-2025-2-018.1.pdf</w:t>
        </w:r>
      </w:hyperlink>
    </w:p>
    <w:bookmarkEnd w:id="165"/>
    <w:bookmarkStart w:id="167" w:name="ref-arora2025"/>
    <w:p>
      <w:pPr>
        <w:pStyle w:val="Bibliography"/>
      </w:pPr>
      <w:r>
        <w:t xml:space="preserve">64.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66">
        <w:r>
          <w:rPr>
            <w:rStyle w:val="Hyperlink"/>
          </w:rPr>
          <w:t xml:space="preserve">10.2139/ssrn.5268176</w:t>
        </w:r>
      </w:hyperlink>
    </w:p>
    <w:bookmarkEnd w:id="167"/>
    <w:bookmarkStart w:id="169" w:name="ref-ignatowicz2023"/>
    <w:p>
      <w:pPr>
        <w:pStyle w:val="Bibliography"/>
      </w:pPr>
      <w:r>
        <w:t xml:space="preserve">65.</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68">
        <w:r>
          <w:rPr>
            <w:rStyle w:val="Hyperlink"/>
          </w:rPr>
          <w:t xml:space="preserve">10.1186/s12913-023-09242-9</w:t>
        </w:r>
      </w:hyperlink>
    </w:p>
    <w:bookmarkEnd w:id="169"/>
    <w:bookmarkStart w:id="171" w:name="ref-ratliff2025"/>
    <w:p>
      <w:pPr>
        <w:pStyle w:val="Bibliography"/>
      </w:pPr>
      <w:r>
        <w:t xml:space="preserve">66.</w:t>
      </w:r>
      <w:r>
        <w:t xml:space="preserve"> </w:t>
      </w:r>
      <w:r>
        <w:t xml:space="preserve">	</w:t>
      </w:r>
      <w:r>
        <w:t xml:space="preserve">Ratliff HC, Lee KA, Buchbinder M, Kelly LA, Yakusheva O, Costa DK.</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70">
        <w:r>
          <w:rPr>
            <w:rStyle w:val="Hyperlink"/>
          </w:rPr>
          <w:t xml:space="preserve">10.1097/JHM-D-24-00084</w:t>
        </w:r>
      </w:hyperlink>
    </w:p>
    <w:bookmarkEnd w:id="171"/>
    <w:bookmarkStart w:id="173" w:name="ref-valiaiev2025"/>
    <w:p>
      <w:pPr>
        <w:pStyle w:val="Bibliography"/>
      </w:pPr>
      <w:r>
        <w:t xml:space="preserve">67.</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2">
        <w:r>
          <w:rPr>
            <w:rStyle w:val="Hyperlink"/>
          </w:rPr>
          <w:t xml:space="preserve">https://search.proquest.com/openview/aa9acce88c488cbb8c6b3c8339062319/1</w:t>
        </w:r>
      </w:hyperlink>
    </w:p>
    <w:bookmarkEnd w:id="173"/>
    <w:bookmarkStart w:id="175" w:name="ref-mannapur2025"/>
    <w:p>
      <w:pPr>
        <w:pStyle w:val="Bibliography"/>
      </w:pPr>
      <w:r>
        <w:t xml:space="preserve">68.</w:t>
      </w:r>
      <w:r>
        <w:t xml:space="preserve"> </w:t>
      </w:r>
      <w:r>
        <w:t xml:space="preserve">	</w:t>
      </w:r>
      <w:r>
        <w:t xml:space="preserve">Mannapur SB.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74">
        <w:r>
          <w:rPr>
            <w:rStyle w:val="Hyperlink"/>
          </w:rPr>
          <w:t xml:space="preserve">10.32628/CSEIT25111239</w:t>
        </w:r>
      </w:hyperlink>
    </w:p>
    <w:bookmarkEnd w:id="175"/>
    <w:bookmarkStart w:id="177" w:name="ref-betha2023"/>
    <w:p>
      <w:pPr>
        <w:pStyle w:val="Bibliography"/>
      </w:pPr>
      <w:r>
        <w:t xml:space="preserve">69.</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76">
        <w:r>
          <w:rPr>
            <w:rStyle w:val="Hyperlink"/>
          </w:rPr>
          <w:t xml:space="preserve">https://www.ijaidr.com/papers/2023/1/1299.pdf</w:t>
        </w:r>
      </w:hyperlink>
    </w:p>
    <w:bookmarkEnd w:id="177"/>
    <w:bookmarkStart w:id="179" w:name="ref-kottam2025"/>
    <w:p>
      <w:pPr>
        <w:pStyle w:val="Bibliography"/>
      </w:pPr>
      <w:r>
        <w:t xml:space="preserve">70.</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78">
        <w:r>
          <w:rPr>
            <w:rStyle w:val="Hyperlink"/>
          </w:rPr>
          <w:t xml:space="preserve">10.1109/BigData66926.2025.11402102</w:t>
        </w:r>
      </w:hyperlink>
    </w:p>
    <w:bookmarkEnd w:id="179"/>
    <w:bookmarkStart w:id="181" w:name="ref-alukal2006"/>
    <w:p>
      <w:pPr>
        <w:pStyle w:val="Bibliography"/>
      </w:pPr>
      <w:r>
        <w:t xml:space="preserve">71.</w:t>
      </w:r>
      <w:r>
        <w:t xml:space="preserve"> </w:t>
      </w:r>
      <w:r>
        <w:t xml:space="preserve">	</w:t>
      </w:r>
      <w:r>
        <w:t xml:space="preserve">Alukal VG, Manos A.</w:t>
      </w:r>
      <w:r>
        <w:t xml:space="preserve"> </w:t>
      </w:r>
      <w:r>
        <w:rPr>
          <w:i/>
          <w:iCs/>
        </w:rPr>
        <w:t xml:space="preserve">Lean Kaizen: A Simplified Approach to Process Improvements</w:t>
      </w:r>
      <w:r>
        <w:t xml:space="preserve">. ASQ Quality Press; 2006.</w:t>
      </w:r>
      <w:r>
        <w:t xml:space="preserve"> </w:t>
      </w:r>
      <w:hyperlink r:id="rId180">
        <w:r>
          <w:rPr>
            <w:rStyle w:val="Hyperlink"/>
          </w:rPr>
          <w:t xml:space="preserve">https://books.google.com/books?id=9uqiEAAAQBAJ</w:t>
        </w:r>
      </w:hyperlink>
    </w:p>
    <w:bookmarkEnd w:id="181"/>
    <w:bookmarkStart w:id="183" w:name="ref-himss2025ucdavis"/>
    <w:p>
      <w:pPr>
        <w:pStyle w:val="Bibliography"/>
      </w:pPr>
      <w:r>
        <w:t xml:space="preserve">72.</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2">
        <w:r>
          <w:rPr>
            <w:rStyle w:val="Hyperlink"/>
          </w:rPr>
          <w:t xml:space="preserve">https://pages.himss.org/LP-HA-Case-Study-UC-Davis.html</w:t>
        </w:r>
      </w:hyperlink>
    </w:p>
    <w:bookmarkEnd w:id="183"/>
    <w:bookmarkStart w:id="185" w:name="ref-kumar2025caos"/>
    <w:p>
      <w:pPr>
        <w:pStyle w:val="Bibliography"/>
      </w:pPr>
      <w:r>
        <w:t xml:space="preserve">73.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4">
        <w:r>
          <w:rPr>
            <w:rStyle w:val="Hyperlink"/>
          </w:rPr>
          <w:t xml:space="preserve">10.1007/s10728-025-00537-y</w:t>
        </w:r>
      </w:hyperlink>
    </w:p>
    <w:bookmarkEnd w:id="185"/>
    <w:bookmarkStart w:id="187" w:name="ref-labkoff2024"/>
    <w:p>
      <w:pPr>
        <w:pStyle w:val="Bibliography"/>
      </w:pPr>
      <w:r>
        <w:t xml:space="preserve">74.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86">
        <w:r>
          <w:rPr>
            <w:rStyle w:val="Hyperlink"/>
          </w:rPr>
          <w:t xml:space="preserve">10.1093/jamia/ocae209</w:t>
        </w:r>
      </w:hyperlink>
    </w:p>
    <w:bookmarkEnd w:id="187"/>
    <w:bookmarkStart w:id="189" w:name="ref-loshin2010"/>
    <w:p>
      <w:pPr>
        <w:pStyle w:val="Bibliography"/>
      </w:pPr>
      <w:r>
        <w:t xml:space="preserve">75.</w:t>
      </w:r>
      <w:r>
        <w:t xml:space="preserve"> </w:t>
      </w:r>
      <w:r>
        <w:t xml:space="preserve">	</w:t>
      </w:r>
      <w:r>
        <w:t xml:space="preserve">Loshin D.</w:t>
      </w:r>
      <w:r>
        <w:t xml:space="preserve"> </w:t>
      </w:r>
      <w:r>
        <w:rPr>
          <w:i/>
          <w:iCs/>
        </w:rPr>
        <w:t xml:space="preserve">Master Data Management</w:t>
      </w:r>
      <w:r>
        <w:t xml:space="preserve">. Morgan Kaufmann; 2009.</w:t>
      </w:r>
      <w:r>
        <w:t xml:space="preserve"> </w:t>
      </w:r>
      <w:hyperlink r:id="rId188">
        <w:r>
          <w:rPr>
            <w:rStyle w:val="Hyperlink"/>
          </w:rPr>
          <w:t xml:space="preserve">https://books.google.com/books?id=dJtmVz3nrOUC</w:t>
        </w:r>
      </w:hyperlink>
    </w:p>
    <w:bookmarkEnd w:id="189"/>
    <w:bookmarkStart w:id="191" w:name="ref-zimmermann2017"/>
    <w:p>
      <w:pPr>
        <w:pStyle w:val="Bibliography"/>
      </w:pPr>
      <w:r>
        <w:t xml:space="preserve">76.</w:t>
      </w:r>
      <w:r>
        <w:t xml:space="preserve"> </w:t>
      </w:r>
      <w:r>
        <w:t xml:space="preserve">	</w:t>
      </w:r>
      <w:r>
        <w:t xml:space="preserve">Zimmermann S, Rentrop C, Felden C.</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190">
        <w:r>
          <w:rPr>
            <w:rStyle w:val="Hyperlink"/>
          </w:rPr>
          <w:t xml:space="preserve">10.2308/isys-51579</w:t>
        </w:r>
      </w:hyperlink>
    </w:p>
    <w:bookmarkEnd w:id="191"/>
    <w:bookmarkStart w:id="193" w:name="ref-ipeirotis2025"/>
    <w:p>
      <w:pPr>
        <w:pStyle w:val="Bibliography"/>
      </w:pPr>
      <w:r>
        <w:t xml:space="preserve">77.</w:t>
      </w:r>
      <w:r>
        <w:t xml:space="preserve"> </w:t>
      </w:r>
      <w:r>
        <w:t xml:space="preserve">	</w:t>
      </w:r>
      <w:r>
        <w:t xml:space="preserve">Ipeirotis P, Zheng H.</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2">
        <w:r>
          <w:rPr>
            <w:rStyle w:val="Hyperlink"/>
          </w:rPr>
          <w:t xml:space="preserve">https://arxiv.org/abs/2511.14718</w:t>
        </w:r>
      </w:hyperlink>
    </w:p>
    <w:bookmarkEnd w:id="193"/>
    <w:bookmarkStart w:id="195" w:name="ref-gartlehner2025"/>
    <w:p>
      <w:pPr>
        <w:pStyle w:val="Bibliography"/>
      </w:pPr>
      <w:r>
        <w:t xml:space="preserve">78.</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194">
        <w:r>
          <w:rPr>
            <w:rStyle w:val="Hyperlink"/>
          </w:rPr>
          <w:t xml:space="preserve">10.7326/ANNALS-25-00739</w:t>
        </w:r>
      </w:hyperlink>
    </w:p>
    <w:bookmarkEnd w:id="195"/>
    <w:bookmarkStart w:id="197" w:name="ref-benzarti2026"/>
    <w:p>
      <w:pPr>
        <w:pStyle w:val="Bibliography"/>
      </w:pPr>
      <w:r>
        <w:t xml:space="preserve">79.</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196">
        <w:r>
          <w:rPr>
            <w:rStyle w:val="Hyperlink"/>
          </w:rPr>
          <w:t xml:space="preserve">10.1007/978-3-032-16638-8_11</w:t>
        </w:r>
      </w:hyperlink>
    </w:p>
    <w:bookmarkEnd w:id="197"/>
    <w:bookmarkStart w:id="199" w:name="ref-ning2024"/>
    <w:p>
      <w:pPr>
        <w:pStyle w:val="Bibliography"/>
      </w:pPr>
      <w:r>
        <w:t xml:space="preserve">80.</w:t>
      </w:r>
      <w:r>
        <w:t xml:space="preserve"> </w:t>
      </w:r>
      <w:r>
        <w:t xml:space="preserve">	</w:t>
      </w:r>
      <w:r>
        <w:t xml:space="preserve">Ning Z, Tian Y, Zhang Z, Zhang T, Li TJJ.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198">
        <w:r>
          <w:rPr>
            <w:rStyle w:val="Hyperlink"/>
          </w:rPr>
          <w:t xml:space="preserve">10.1145/3650114</w:t>
        </w:r>
      </w:hyperlink>
    </w:p>
    <w:bookmarkEnd w:id="199"/>
    <w:bookmarkStart w:id="201" w:name="ref-ibm2022"/>
    <w:p>
      <w:pPr>
        <w:pStyle w:val="Bibliography"/>
      </w:pPr>
      <w:r>
        <w:t xml:space="preserve">81.</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0">
        <w:r>
          <w:rPr>
            <w:rStyle w:val="Hyperlink"/>
          </w:rPr>
          <w:t xml:space="preserve">https://newsroom.ibm.com/2022-01-21-Francisco-Partners-to-Acquire-IBMs-Healthcare-Data-and-Analytics-Assets</w:t>
        </w:r>
      </w:hyperlink>
    </w:p>
    <w:bookmarkEnd w:id="201"/>
    <w:bookmarkStart w:id="203" w:name="ref-strickland2019"/>
    <w:p>
      <w:pPr>
        <w:pStyle w:val="Bibliography"/>
      </w:pPr>
      <w:r>
        <w:t xml:space="preserve">82.</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2">
        <w:r>
          <w:rPr>
            <w:rStyle w:val="Hyperlink"/>
          </w:rPr>
          <w:t xml:space="preserve">10.1109/MSPEC.2019.8678513</w:t>
        </w:r>
      </w:hyperlink>
    </w:p>
    <w:bookmarkEnd w:id="203"/>
    <w:bookmarkStart w:id="205" w:name="ref-lavito2021"/>
    <w:p>
      <w:pPr>
        <w:pStyle w:val="Bibliography"/>
      </w:pPr>
      <w:r>
        <w:t xml:space="preserve">83.</w:t>
      </w:r>
      <w:r>
        <w:t xml:space="preserve"> </w:t>
      </w:r>
      <w:r>
        <w:t xml:space="preserve">	</w:t>
      </w:r>
      <w:r>
        <w:t xml:space="preserve">Son H.</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04">
        <w:r>
          <w:rPr>
            <w:rStyle w:val="Hyperlink"/>
          </w:rPr>
          <w:t xml:space="preserve">https://www.cnbc.com/2021/01/04/haven-the-amazon-berkshire-jpmorgan-venture-to-disrupt-healthcare-is-disbanding-after-3-years.html</w:t>
        </w:r>
      </w:hyperlink>
    </w:p>
    <w:bookmarkEnd w:id="205"/>
    <w:bookmarkStart w:id="207" w:name="ref-acchiardo2021"/>
    <w:p>
      <w:pPr>
        <w:pStyle w:val="Bibliography"/>
      </w:pPr>
      <w:r>
        <w:t xml:space="preserve">84.</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06">
        <w:r>
          <w:rPr>
            <w:rStyle w:val="Hyperlink"/>
          </w:rPr>
          <w:t xml:space="preserve">10.1016/j.acra.2021.03.020</w:t>
        </w:r>
      </w:hyperlink>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_rels/footnotes.xml.rels><?xml version="1.0" encoding="UTF-8"?><Relationships xmlns="http://schemas.openxmlformats.org/package/2006/relationships"><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9"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2" Target="https://arxiv.org/abs/2511.14718" TargetMode="External" /><Relationship Type="http://schemas.openxmlformats.org/officeDocument/2006/relationships/hyperlink" Id="rId180" Target="https://books.google.com/books?id=9uqiEAAAQBAJ" TargetMode="External" /><Relationship Type="http://schemas.openxmlformats.org/officeDocument/2006/relationships/hyperlink" Id="rId188" Target="https://books.google.com/books?id=dJtmVz3nrOUC" TargetMode="External" /><Relationship Type="http://schemas.openxmlformats.org/officeDocument/2006/relationships/hyperlink" Id="rId130" Target="https://doi.org/10.1001/jamanetworkopen.2021.1793" TargetMode="External" /><Relationship Type="http://schemas.openxmlformats.org/officeDocument/2006/relationships/hyperlink" Id="rId55" Target="https://doi.org/10.1002/nop2.2097" TargetMode="External" /><Relationship Type="http://schemas.openxmlformats.org/officeDocument/2006/relationships/hyperlink" Id="rId196" Target="https://doi.org/10.1007/978-3-032-16638-8_11" TargetMode="External" /><Relationship Type="http://schemas.openxmlformats.org/officeDocument/2006/relationships/hyperlink" Id="rId107" Target="https://doi.org/10.1007/s00779-007-0146-3" TargetMode="External" /><Relationship Type="http://schemas.openxmlformats.org/officeDocument/2006/relationships/hyperlink" Id="rId103" Target="https://doi.org/10.1007/s10462-022-10246-w" TargetMode="External" /><Relationship Type="http://schemas.openxmlformats.org/officeDocument/2006/relationships/hyperlink" Id="rId184" Target="https://doi.org/10.1007/s10728-025-00537-y" TargetMode="External" /><Relationship Type="http://schemas.openxmlformats.org/officeDocument/2006/relationships/hyperlink" Id="rId146"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06" Target="https://doi.org/10.1016/j.acra.2021.03.020" TargetMode="External" /><Relationship Type="http://schemas.openxmlformats.org/officeDocument/2006/relationships/hyperlink" Id="rId105"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71" Target="https://doi.org/10.1016/j.ijrobp.2015.12.355" TargetMode="External" /><Relationship Type="http://schemas.openxmlformats.org/officeDocument/2006/relationships/hyperlink" Id="rId154" Target="https://doi.org/10.1016/j.patcog.2025.111800" TargetMode="External" /><Relationship Type="http://schemas.openxmlformats.org/officeDocument/2006/relationships/hyperlink" Id="rId65" Target="https://doi.org/10.1057/palgrave.emr.1500057" TargetMode="External" /><Relationship Type="http://schemas.openxmlformats.org/officeDocument/2006/relationships/hyperlink" Id="rId138" Target="https://doi.org/10.1080/02683960110132070" TargetMode="External" /><Relationship Type="http://schemas.openxmlformats.org/officeDocument/2006/relationships/hyperlink" Id="rId59" Target="https://doi.org/10.1080/08109020050000627" TargetMode="External" /><Relationship Type="http://schemas.openxmlformats.org/officeDocument/2006/relationships/hyperlink" Id="rId61" Target="https://doi.org/10.1080/13501763.2018.1535612" TargetMode="External" /><Relationship Type="http://schemas.openxmlformats.org/officeDocument/2006/relationships/hyperlink" Id="rId136" Target="https://doi.org/10.1080/20479700.2018.1531606" TargetMode="External" /><Relationship Type="http://schemas.openxmlformats.org/officeDocument/2006/relationships/hyperlink" Id="rId186" Target="https://doi.org/10.1093/jamia/ocae209" TargetMode="External" /><Relationship Type="http://schemas.openxmlformats.org/officeDocument/2006/relationships/hyperlink" Id="rId57" Target="https://doi.org/10.1093/jamia/ocaf019" TargetMode="External" /><Relationship Type="http://schemas.openxmlformats.org/officeDocument/2006/relationships/hyperlink" Id="rId158" Target="https://doi.org/10.1093/jamia/ocy178" TargetMode="External" /><Relationship Type="http://schemas.openxmlformats.org/officeDocument/2006/relationships/hyperlink" Id="rId47" Target="https://doi.org/10.1093/jamiaopen/ooae058" TargetMode="External" /><Relationship Type="http://schemas.openxmlformats.org/officeDocument/2006/relationships/hyperlink" Id="rId49" Target="https://doi.org/10.1093/jopart/muaf019" TargetMode="External" /><Relationship Type="http://schemas.openxmlformats.org/officeDocument/2006/relationships/hyperlink" Id="rId170" Target="https://doi.org/10.1097/JHM-D-24-00084" TargetMode="External" /><Relationship Type="http://schemas.openxmlformats.org/officeDocument/2006/relationships/hyperlink" Id="rId83" Target="https://doi.org/10.1108/13673270610650067" TargetMode="External" /><Relationship Type="http://schemas.openxmlformats.org/officeDocument/2006/relationships/hyperlink" Id="rId89" Target="https://doi.org/10.1108/JKM-02-2024-0203" TargetMode="External" /><Relationship Type="http://schemas.openxmlformats.org/officeDocument/2006/relationships/hyperlink" Id="rId87" Target="https://doi.org/10.1108/JKM-08-2016-0338" TargetMode="External" /><Relationship Type="http://schemas.openxmlformats.org/officeDocument/2006/relationships/hyperlink" Id="rId178" Target="https://doi.org/10.1109/BigData66926.2025.11402102" TargetMode="External" /><Relationship Type="http://schemas.openxmlformats.org/officeDocument/2006/relationships/hyperlink" Id="rId202"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2"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7" Target="https://doi.org/10.1145/1017114.1017118" TargetMode="External" /><Relationship Type="http://schemas.openxmlformats.org/officeDocument/2006/relationships/hyperlink" Id="rId162"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9" Target="https://doi.org/10.1145/3366423.3380120" TargetMode="External" /><Relationship Type="http://schemas.openxmlformats.org/officeDocument/2006/relationships/hyperlink" Id="rId198" Target="https://doi.org/10.1145/3650114" TargetMode="External" /><Relationship Type="http://schemas.openxmlformats.org/officeDocument/2006/relationships/hyperlink" Id="rId53" Target="https://doi.org/10.1155/2024/5063998" TargetMode="External" /><Relationship Type="http://schemas.openxmlformats.org/officeDocument/2006/relationships/hyperlink" Id="rId97" Target="https://doi.org/10.1177/1350508407071859" TargetMode="External" /><Relationship Type="http://schemas.openxmlformats.org/officeDocument/2006/relationships/hyperlink" Id="rId73" Target="https://doi.org/10.1186/1478-4491-11-35" TargetMode="External" /><Relationship Type="http://schemas.openxmlformats.org/officeDocument/2006/relationships/hyperlink" Id="rId168" Target="https://doi.org/10.1186/s12913-023-09242-9" TargetMode="External" /><Relationship Type="http://schemas.openxmlformats.org/officeDocument/2006/relationships/hyperlink" Id="rId142" Target="https://doi.org/10.1186/s12913-025-12966-5" TargetMode="External" /><Relationship Type="http://schemas.openxmlformats.org/officeDocument/2006/relationships/hyperlink" Id="rId134" Target="https://doi.org/10.1186/s40537-019-0170-y" TargetMode="External" /><Relationship Type="http://schemas.openxmlformats.org/officeDocument/2006/relationships/hyperlink" Id="rId63" Target="https://doi.org/10.1287/mnsc.1040.0273" TargetMode="External" /><Relationship Type="http://schemas.openxmlformats.org/officeDocument/2006/relationships/hyperlink" Id="rId140" Target="https://doi.org/10.15446/innovar.v31n81.95582" TargetMode="External" /><Relationship Type="http://schemas.openxmlformats.org/officeDocument/2006/relationships/hyperlink" Id="rId166" Target="https://doi.org/10.2139/ssrn.5268176" TargetMode="External" /><Relationship Type="http://schemas.openxmlformats.org/officeDocument/2006/relationships/hyperlink" Id="rId128" Target="https://doi.org/10.2196/56316" TargetMode="External" /><Relationship Type="http://schemas.openxmlformats.org/officeDocument/2006/relationships/hyperlink" Id="rId124" Target="https://doi.org/10.2307/2393298" TargetMode="External" /><Relationship Type="http://schemas.openxmlformats.org/officeDocument/2006/relationships/hyperlink" Id="rId190" Target="https://doi.org/10.2308/isys-51579" TargetMode="External" /><Relationship Type="http://schemas.openxmlformats.org/officeDocument/2006/relationships/hyperlink" Id="rId148" Target="https://doi.org/10.24251/HICSS.2020.659" TargetMode="External" /><Relationship Type="http://schemas.openxmlformats.org/officeDocument/2006/relationships/hyperlink" Id="rId174" Target="https://doi.org/10.32628/CSEIT25111239" TargetMode="External" /><Relationship Type="http://schemas.openxmlformats.org/officeDocument/2006/relationships/hyperlink" Id="rId152" Target="https://doi.org/10.3389/fdata.2024.1371680" TargetMode="External" /><Relationship Type="http://schemas.openxmlformats.org/officeDocument/2006/relationships/hyperlink" Id="rId79" Target="https://doi.org/10.3389/fpsyg.2019.02730" TargetMode="External" /><Relationship Type="http://schemas.openxmlformats.org/officeDocument/2006/relationships/hyperlink" Id="rId150" Target="https://doi.org/10.3390/bdcc9100256" TargetMode="External" /><Relationship Type="http://schemas.openxmlformats.org/officeDocument/2006/relationships/hyperlink" Id="rId75"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2" Target="https://doi.org/10.69554/RITW9729" TargetMode="External" /><Relationship Type="http://schemas.openxmlformats.org/officeDocument/2006/relationships/hyperlink" Id="rId194" Target="https://doi.org/10.7326/ANNALS-25-00739" TargetMode="External" /><Relationship Type="http://schemas.openxmlformats.org/officeDocument/2006/relationships/hyperlink" Id="rId67" Target="https://doi.org/10.7551/mitpress/9302.001.0001" TargetMode="External" /><Relationship Type="http://schemas.openxmlformats.org/officeDocument/2006/relationships/hyperlink" Id="rId81" Target="https://fac.flinders.edu.au/dspace/api/core/bitstreams/e94a96eb-0334-4300-8880-c836d4d9a676/content" TargetMode="External" /><Relationship Type="http://schemas.openxmlformats.org/officeDocument/2006/relationships/hyperlink" Id="rId101" Target="https://hdl.handle.net/10803/695722" TargetMode="External" /><Relationship Type="http://schemas.openxmlformats.org/officeDocument/2006/relationships/hyperlink" Id="rId200" Target="https://newsroom.ibm.com/2022-01-21-Francisco-Partners-to-Acquire-IBMs-Healthcare-Data-and-Analytics-Assets" TargetMode="External" /><Relationship Type="http://schemas.openxmlformats.org/officeDocument/2006/relationships/hyperlink" Id="rId182" Target="https://pages.himss.org/LP-HA-Case-Study-UC-Davis.html" TargetMode="External" /><Relationship Type="http://schemas.openxmlformats.org/officeDocument/2006/relationships/hyperlink" Id="rId156" Target="https://pmc.ncbi.nlm.nih.gov/articles/PMC10785918/" TargetMode="External" /><Relationship Type="http://schemas.openxmlformats.org/officeDocument/2006/relationships/hyperlink" Id="rId160" Target="https://resources.anthropic.com/code-modernization-playbook" TargetMode="External" /><Relationship Type="http://schemas.openxmlformats.org/officeDocument/2006/relationships/hyperlink" Id="rId144" Target="https://search.proquest.com/openview/9a3a9ef301c01ff0129d07f685b8643f/1" TargetMode="External" /><Relationship Type="http://schemas.openxmlformats.org/officeDocument/2006/relationships/hyperlink" Id="rId172" Target="https://search.proquest.com/openview/aa9acce88c488cbb8c6b3c8339062319/1" TargetMode="External" /><Relationship Type="http://schemas.openxmlformats.org/officeDocument/2006/relationships/hyperlink" Id="rId95" Target="https://wendyju.com/publications/18_ijee3593.pdf" TargetMode="External" /><Relationship Type="http://schemas.openxmlformats.org/officeDocument/2006/relationships/hyperlink" Id="rId164" Target="https://www.allmultidisciplinaryjournal.com/uploads/archives/20250306182550_MGE-2025-2-018.1.pdf" TargetMode="External" /><Relationship Type="http://schemas.openxmlformats.org/officeDocument/2006/relationships/hyperlink" Id="rId204" Target="https://www.cnbc.com/2021/01/04/haven-the-amazon-berkshire-jpmorgan-venture-to-disrupt-healthcare-is-disbanding-after-3-years.html" TargetMode="External" /><Relationship Type="http://schemas.openxmlformats.org/officeDocument/2006/relationships/hyperlink" Id="rId43" Target="https://www.healthcareitnews.com/news/asia/himss24-apac-adoption-model-analytics-maturity-gets-facelift" TargetMode="External" /><Relationship Type="http://schemas.openxmlformats.org/officeDocument/2006/relationships/hyperlink" Id="rId126"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93" Target="https://www.himss.org/resources/the-future-of-workforce/" TargetMode="External" /><Relationship Type="http://schemas.openxmlformats.org/officeDocument/2006/relationships/hyperlink" Id="rId176" Target="https://www.ijaidr.com/papers/2023/1/1299.pdf" TargetMode="External" /><Relationship Type="http://schemas.openxmlformats.org/officeDocument/2006/relationships/hyperlink" Id="rId85" Target="https://www.nsinursingsolutions.com/documents/library/nsi_national_health_care_retention_report.pdf" TargetMode="External" /><Relationship Type="http://schemas.openxmlformats.org/officeDocument/2006/relationships/hyperlink" Id="rId45" Target="https://www.nyulawreview.org/issues/volume-94-number-4/data-standardiz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Care Analytics Challenges: A Three-Pillar Framework Connecting Analytics Maturity, Workforce Agility, and Technical Enablement</dc:title>
  <dc:creator>Samuel T Harrold, Yuimedi, Inc.</dc:creator>
  <dc:language>en-US</dc:language>
  <cp:keywords>institutional amnesia, organizational forgetting, human-in-the-loop, medical informatics, socio-technical systems, query governance, natural language processing, knowledge management, personnel turnover, organizational resilience</cp:keywords>
  <dcterms:created xsi:type="dcterms:W3CDTF">2026-08-10T20:02:25Z</dcterms:created>
  <dcterms:modified xsi:type="dcterms:W3CDTF">2026-08-10T20:02:25Z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 care organizations face a “Triple Threat” of low analytics maturity, high workforce instability, and semantic technical barriers that together produce a crisis of “Institutional Amnesia.” Leadership turnover, workforce shortages, and widespread intent to leave among informatics specialists systematically erase the tacit knowledge required to navigate complex clinical data schemas, trapping organizations in a cycle where knowledge loss outpaces knowledge capture.Viewed through Nonaka’s SECI (Socialization, Externalization, Combination, Internalization)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 care informatics, knowledge management, and natural language processing to develop a socio-technical framework: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query workflow, the framework aims to convert ephemeral analytics into permanent institutional assets. The accompanying Three-Pillar Assessment Rubric enables organizations to identify compounding vulnerabilities across analytics maturity, workforce agility, and technical enablement.The “Validator Paradox” (who validates the AI when experts leave?) is addressed by reframing validation through Lean “Standard Work”: each validated query establishes the current known standard rather than eternal truth, functioning as a “knowledge ratchet” that prevents regression. Decoupling analytical capability from individual tenure lets analytics maturity advance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July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 Care Analytics Challenges</vt:lpwstr>
  </property>
  <property fmtid="{D5CDD505-2E9C-101B-9397-08002B2CF9AE}" pid="20" name="header-right">
    <vt:lpwstr>July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