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Semantic Governance (HiL-SG).</w:t>
      </w:r>
    </w:p>
    <w:p>
      <w:pPr>
        <w:pStyle w:val="Abstract"/>
      </w:pPr>
      <w:r>
        <w:t xml:space="preserve">HiL-SG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Analytics Resilience Index (ARI) proposes a measurement instrument that extends static maturity assessments with a complementary resilience dimension, quantifying an organization’s ability to sustain analytical capability despite staff churn.</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r>
        <w:t xml:space="preserve"> </w:t>
      </w:r>
      <w:r>
        <w:t xml:space="preserve">(</w:t>
      </w:r>
      <w:hyperlink w:anchor="ref-himss2024">
        <w:r>
          <w:rPr>
            <w:rStyle w:val="Hyperlink"/>
          </w:rPr>
          <w:t xml:space="preserve">1</w:t>
        </w:r>
      </w:hyperlink>
      <w:r>
        <w:t xml:space="preserve">)</w:t>
      </w:r>
      <w:r>
        <w:t xml:space="preserve">; (2) a</w:t>
      </w:r>
      <w:r>
        <w:t xml:space="preserve"> </w:t>
      </w:r>
      <w:r>
        <w:rPr>
          <w:b/>
          <w:b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Semantic Governance (HiL-SG)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r>
        <w:t xml:space="preserve"> </w:t>
      </w:r>
      <w:r>
        <w:t xml:space="preserve">(</w:t>
      </w:r>
      <w:hyperlink w:anchor="ref-wittkieffer2024">
        <w:r>
          <w:rPr>
            <w:rStyle w:val="Hyperlink"/>
          </w:rPr>
          <w:t xml:space="preserve">5</w:t>
        </w:r>
      </w:hyperlink>
      <w:r>
        <w:t xml:space="preserve">)</w:t>
      </w:r>
      <w:r>
        <w:t xml:space="preserve">, strategic knowledge at the leadership level turns over before it can be transmitted. At the operational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and 30% of new employees depart within their first year</w:t>
      </w:r>
      <w:r>
        <w:t xml:space="preserve"> </w:t>
      </w:r>
      <w:r>
        <w:t xml:space="preserve">(</w:t>
      </w:r>
      <w:hyperlink w:anchor="ref-nsi2025">
        <w:r>
          <w:rPr>
            <w:rStyle w:val="Hyperlink"/>
          </w:rPr>
          <w:t xml:space="preserve">19</w:t>
        </w:r>
      </w:hyperlink>
      <w:r>
        <w:t xml:space="preserve">)</w:t>
      </w:r>
      <w:r>
        <w:t xml:space="preserve">. Meanwhile,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11"/>
    <w:bookmarkEnd w:id="12"/>
    <w:bookmarkStart w:id="22" w:name="human-in-the-loop-semantic-governance"/>
    <w:p>
      <w:pPr>
        <w:pStyle w:val="Heading1"/>
      </w:pPr>
      <w:r>
        <w:rPr>
          <w:rStyle w:val="SectionNumber"/>
        </w:rPr>
        <w:t xml:space="preserve">3</w:t>
      </w:r>
      <w:r>
        <w:tab/>
      </w:r>
      <w:r>
        <w:t xml:space="preserve">Human-in-the-Loop Semantic Governance</w:t>
      </w:r>
    </w:p>
    <w:p>
      <w:pPr>
        <w:pStyle w:val="FirstParagraph"/>
      </w:pPr>
      <w:r>
        <w:t xml:space="preserve">We rename the traditional</w:t>
      </w:r>
      <w:r>
        <w:t xml:space="preserve"> </w:t>
      </w:r>
      <w:r>
        <w:t xml:space="preserve">“Validated Query Cycle”</w:t>
      </w:r>
      <w:r>
        <w:t xml:space="preserve"> </w:t>
      </w:r>
      <w:r>
        <w:t xml:space="preserve">to</w:t>
      </w:r>
      <w:r>
        <w:t xml:space="preserve"> </w:t>
      </w:r>
      <w:r>
        <w:rPr>
          <w:b/>
          <w:bCs/>
        </w:rPr>
        <w:t xml:space="preserve">Human-in-the-Loop Semantic Governance (HiL-SG)</w:t>
      </w:r>
      <w:r>
        <w:t xml:space="preserve"> </w:t>
      </w:r>
      <w:r>
        <w:t xml:space="preserve">to reflect its role as a governance mechanism rather than just a productivity tool.</w:t>
      </w:r>
    </w:p>
    <w:bookmarkStart w:id="19" w:name="the-hil-sg-architecture"/>
    <w:p>
      <w:pPr>
        <w:pStyle w:val="Heading2"/>
      </w:pPr>
      <w:r>
        <w:rPr>
          <w:rStyle w:val="SectionNumber"/>
        </w:rPr>
        <w:t xml:space="preserve">3.1</w:t>
      </w:r>
      <w:r>
        <w:tab/>
      </w:r>
      <w:r>
        <w:t xml:space="preserve">The HiL-SG Architecture</w:t>
      </w:r>
    </w:p>
    <w:p>
      <w:pPr>
        <w:pStyle w:val="FirstParagraph"/>
      </w:pPr>
      <w:r>
        <w:t xml:space="preserve">The HiL-SG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Flowchart of the Healthcare Analytics Architecture as a Socio-Technical System.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Flowchart of the Healthcare Analytics Architecture as a Socio-Technical System.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9456573"/>
            <wp:effectExtent b="0" l="0" r="0" t="0"/>
            <wp:docPr descr="Flowchart of the six-step Validated Query Cycle for Human-in-the-Loop Semantic Governance. Step 1 (Query): domain expert asks a natural language question. Step 2 (Generation): system generates candidate SQL. Step 3 (Validation): AI explains SQL logic and results; expert confirms intent. If incorrect, the cycle loops back to Generation. If correct, Step 4 (Storage): validated triple is stored in organizational memory. Step 5 (Retrieval): future queries match against validated triples. Step 6 (Persistence): knowledge survives staff turnover, and new exper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9456573"/>
                    </a:xfrm>
                    <a:prstGeom prst="rect">
                      <a:avLst/>
                    </a:prstGeom>
                    <a:noFill/>
                    <a:ln w="9525">
                      <a:noFill/>
                      <a:headEnd/>
                      <a:tailEnd/>
                    </a:ln>
                  </pic:spPr>
                </pic:pic>
              </a:graphicData>
            </a:graphic>
          </wp:inline>
        </w:drawing>
      </w:r>
    </w:p>
    <w:p>
      <w:pPr>
        <w:pStyle w:val="ImageCaption"/>
      </w:pPr>
      <w:r>
        <w:t xml:space="preserve">Flowchart of the six-step Validated Query Cycle for Human-in-the-Loop Semantic Governance. Step 1 (Query): domain expert asks a natural language question. Step 2 (Generation): system generates candidate SQL. Step 3 (Validation): AI explains SQL logic and results; expert confirms intent. If incorrect, the cycle loops back to Generation. If correct, Step 4 (Storage): validated triple is stored in organizational memory. Step 5 (Retrieval): future queries match against validated triples. Step 6 (Persistence): knowledge survives staff turnover, and new experts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r>
        <w:t xml:space="preserve"> </w:t>
      </w:r>
      <w:r>
        <w:t xml:space="preserve">(</w:t>
      </w:r>
      <w:hyperlink w:anchor="ref-wang2020">
        <w:r>
          <w:rPr>
            <w:rStyle w:val="Hyperlink"/>
          </w:rPr>
          <w:t xml:space="preserve">10</w:t>
        </w:r>
      </w:hyperlink>
      <w:r>
        <w:t xml:space="preserve">,</w:t>
      </w:r>
      <w:hyperlink w:anchor="ref-lee2023">
        <w:r>
          <w:rPr>
            <w:rStyle w:val="Hyperlink"/>
          </w:rPr>
          <w:t xml:space="preserve">27</w:t>
        </w:r>
      </w:hyperlink>
      <w:r>
        <w:t xml:space="preserve">)</w:t>
      </w:r>
      <w:r>
        <w:t xml:space="preserve">.</w:t>
      </w:r>
    </w:p>
    <w:p>
      <w:pPr>
        <w:pStyle w:val="Compact"/>
        <w:numPr>
          <w:ilvl w:val="0"/>
          <w:numId w:val="1002"/>
        </w:numPr>
      </w:pPr>
      <w:r>
        <w:rPr>
          <w:b/>
          <w:bCs/>
        </w:rPr>
        <w:t xml:space="preserve">Semantic Translation</w:t>
      </w:r>
      <w:r>
        <w:t xml:space="preserve">: The AI translates the SQL back into a natural language explanation</w:t>
      </w:r>
      <w:r>
        <w:t xml:space="preserve"> </w:t>
      </w:r>
      <w:r>
        <w:t xml:space="preserve">(</w:t>
      </w:r>
      <w:hyperlink w:anchor="ref-ziletti2024">
        <w:r>
          <w:rPr>
            <w:rStyle w:val="Hyperlink"/>
          </w:rPr>
          <w:t xml:space="preserve">28</w:t>
        </w:r>
      </w:hyperlink>
      <w:r>
        <w:t xml:space="preserve">)</w:t>
      </w:r>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“Human-on-the-Loop”</w:t>
      </w:r>
      <w:r>
        <w:t xml:space="preserve"> </w:t>
      </w:r>
      <w:r>
        <w:t xml:space="preserve">(HotL) step transforms validation into an iterative knowledge capture process</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w:t>
      </w:r>
    </w:p>
    <w:p>
      <w:pPr>
        <w:pStyle w:val="Compact"/>
        <w:numPr>
          <w:ilvl w:val="0"/>
          <w:numId w:val="1002"/>
        </w:numPr>
      </w:pPr>
      <w:r>
        <w:rPr>
          <w:b/>
          <w:bCs/>
        </w:rPr>
        <w:t xml:space="preserve">Artifact Storage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r>
        <w:t xml:space="preserve"> </w:t>
      </w:r>
      <w:r>
        <w:t xml:space="preserve">(</w:t>
      </w:r>
      <w:hyperlink w:anchor="ref-whittaker2008">
        <w:r>
          <w:rPr>
            <w:rStyle w:val="Hyperlink"/>
          </w:rPr>
          <w:t xml:space="preserve">32</w:t>
        </w:r>
      </w:hyperlink>
      <w:r>
        <w:t xml:space="preserve">)</w:t>
      </w:r>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HiL-SG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HiL-SG’s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HiL-SG instead implements active capture: the query itself is the documentation, and validation happens at the point of use rather than as a separate maintenance task</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r>
        <w:t xml:space="preserve"> </w:t>
      </w:r>
      <w:r>
        <w:t xml:space="preserve">(</w:t>
      </w:r>
      <w:hyperlink w:anchor="ref-ziletti2024">
        <w:r>
          <w:rPr>
            <w:rStyle w:val="Hyperlink"/>
          </w:rPr>
          <w:t xml:space="preserve">28</w:t>
        </w:r>
      </w:hyperlink>
      <w:r>
        <w:t xml:space="preserve">)</w:t>
      </w:r>
      <w:r>
        <w:t xml:space="preserve">. HiL-SG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HiL-SG addresses, and the maturity of the technologies it requires. It does not constitute empirical validation of the framework itself, which remains a theoretically grounded, testable proposition whose empirical evaluation is the subject of Paper 2.</w:t>
      </w:r>
    </w:p>
    <w:p>
      <w:pPr>
        <w:pStyle w:val="BodyText"/>
      </w:pPr>
      <w:r>
        <w:t xml:space="preserve">The HiL-SG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35</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36</w:t>
        </w:r>
      </w:hyperlink>
      <w:r>
        <w:t xml:space="preserve">)</w:t>
      </w:r>
      <w:r>
        <w:t xml:space="preserve">. However, maturity is not merely an IT metric; it is a clinical safety predictor. EMRAM levels 6-7 correlate with 3.25 times higher odds of better Leapfrog Safety Grades</w:t>
      </w:r>
      <w:r>
        <w:t xml:space="preserve"> </w:t>
      </w:r>
      <w:r>
        <w:t xml:space="preserve">(</w:t>
      </w:r>
      <w:hyperlink w:anchor="ref-snowdon2024">
        <w:r>
          <w:rPr>
            <w:rStyle w:val="Hyperlink"/>
          </w:rPr>
          <w:t xml:space="preserve">37</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38</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r>
        <w:t xml:space="preserve"> </w:t>
      </w:r>
      <w:r>
        <w:t xml:space="preserve">(</w:t>
      </w:r>
      <w:hyperlink w:anchor="ref-latrella2024">
        <w:r>
          <w:rPr>
            <w:rStyle w:val="Hyperlink"/>
          </w:rPr>
          <w:t xml:space="preserve">39</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40</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41</w:t>
        </w:r>
      </w:hyperlink>
      <w:r>
        <w:t xml:space="preserve">,</w:t>
      </w:r>
      <w:hyperlink w:anchor="ref-kamble2019">
        <w:r>
          <w:rPr>
            <w:rStyle w:val="Hyperlink"/>
          </w:rPr>
          <w:t xml:space="preserve">42</w:t>
        </w:r>
      </w:hyperlink>
      <w:r>
        <w:t xml:space="preserve">)</w:t>
      </w:r>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43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44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45</w:t>
        </w:r>
      </w:hyperlink>
      <w:r>
        <w:t xml:space="preserve">)</w:t>
      </w:r>
      <w:r>
        <w:t xml:space="preserve">; domain-adapted systems like MedT5SQL reach 80%</w:t>
      </w:r>
      <w:r>
        <w:t xml:space="preserve"> </w:t>
      </w:r>
      <w:r>
        <w:t xml:space="preserve">(</w:t>
      </w:r>
      <w:hyperlink w:anchor="ref-marshan2024">
        <w:r>
          <w:rPr>
            <w:rStyle w:val="Hyperlink"/>
          </w:rPr>
          <w:t xml:space="preserve">46</w:t>
        </w:r>
      </w:hyperlink>
      <w:r>
        <w:t xml:space="preserve">)</w:t>
      </w:r>
      <w:r>
        <w:t xml:space="preserve">; and architecturally specialized approaches combining LLMs with structured knowledge representations achieve 94% on the same benchmarks</w:t>
      </w:r>
      <w:r>
        <w:t xml:space="preserve"> </w:t>
      </w:r>
      <w:r>
        <w:t xml:space="preserve">(</w:t>
      </w:r>
      <w:hyperlink w:anchor="ref-chen2026graph">
        <w:r>
          <w:rPr>
            <w:rStyle w:val="Hyperlink"/>
          </w:rPr>
          <w:t xml:space="preserve">47</w:t>
        </w:r>
      </w:hyperlink>
      <w:r>
        <w:t xml:space="preserve">)</w:t>
      </w:r>
      <w:r>
        <w:t xml:space="preserve">. While insufficient for unsupervised clinical deployment</w:t>
      </w:r>
      <w:r>
        <w:t xml:space="preserve"> </w:t>
      </w:r>
      <w:r>
        <w:t xml:space="preserve">(</w:t>
      </w:r>
      <w:hyperlink w:anchor="ref-ziletti2024">
        <w:r>
          <w:rPr>
            <w:rStyle w:val="Hyperlink"/>
          </w:rPr>
          <w:t xml:space="preserve">28</w:t>
        </w:r>
      </w:hyperlink>
      <w:r>
        <w:t xml:space="preserve">)</w:t>
      </w:r>
      <w:r>
        <w:t xml:space="preserve">, this gradient demonstrates that the generation engine required for HiL-SG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48</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49</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50</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HiL-SG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51</w:t>
        </w:r>
      </w:hyperlink>
      <w:r>
        <w:t xml:space="preserve">–</w:t>
      </w:r>
      <w:hyperlink w:anchor="ref-arora2025">
        <w:r>
          <w:rPr>
            <w:rStyle w:val="Hyperlink"/>
          </w:rPr>
          <w:t xml:space="preserve">54</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the-analytics-resilience-index"/>
    <w:p>
      <w:pPr>
        <w:pStyle w:val="Heading1"/>
      </w:pPr>
      <w:r>
        <w:rPr>
          <w:rStyle w:val="SectionNumber"/>
        </w:rPr>
        <w:t xml:space="preserve">5</w:t>
      </w:r>
      <w:r>
        <w:tab/>
      </w:r>
      <w:r>
        <w:t xml:space="preserve">The Analytics Resilience Index</w:t>
      </w:r>
    </w:p>
    <w:p>
      <w:pPr>
        <w:pStyle w:val="FirstParagraph"/>
      </w:pPr>
      <w:r>
        <w:t xml:space="preserve">To measure success, we propose the</w:t>
      </w:r>
      <w:r>
        <w:t xml:space="preserve"> </w:t>
      </w:r>
      <w:r>
        <w:rPr>
          <w:b/>
          <w:bCs/>
        </w:rPr>
        <w:t xml:space="preserve">Analytics Resilience Index (ARI)</w:t>
      </w:r>
      <w:r>
        <w:t xml:space="preserve">, extending static maturity assessments with a complementary resilience dimension.</w:t>
      </w:r>
    </w:p>
    <w:bookmarkStart w:id="27" w:name="why-resilience-not-maturity"/>
    <w:p>
      <w:pPr>
        <w:pStyle w:val="Heading2"/>
      </w:pPr>
      <w:r>
        <w:rPr>
          <w:rStyle w:val="SectionNumber"/>
        </w:rPr>
        <w:t xml:space="preserve">5.1</w:t>
      </w:r>
      <w:r>
        <w:tab/>
      </w:r>
      <w:r>
        <w:t xml:space="preserve">Why Resilience, Not Maturity</w:t>
      </w:r>
    </w:p>
    <w:p>
      <w:pPr>
        <w:pStyle w:val="FirstParagraph"/>
      </w:pPr>
      <w:r>
        <w:t xml:space="preserve">Existing maturity models such as the HIMSS Analytics Maturity Assessment Model (AMAM) assume linear progression through discrete stages and implicitly presuppose a stable workforce capable of sustaining each level once achieved</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this assumption is violated routinely. An organization that reaches AMAM Stage 5 but regresses to Stage 3 after the departure of two senior analysts has not failed to mature; it has failed to be</w:t>
      </w:r>
      <w:r>
        <w:t xml:space="preserve"> </w:t>
      </w:r>
      <w:r>
        <w:rPr>
          <w:i/>
          <w:iCs/>
        </w:rPr>
        <w:t xml:space="preserve">resilient</w:t>
      </w:r>
      <w:r>
        <w:t xml:space="preserve">. Static maturity scores capture a snapshot of peak capability but reveal nothing about the organization’s ability to sustain that capability through disruption. The ARI addresses this gap by shifting the measurement focus from</w:t>
      </w:r>
      <w:r>
        <w:t xml:space="preserve"> </w:t>
      </w:r>
      <w:r>
        <w:t xml:space="preserve">“where you are”</w:t>
      </w:r>
      <w:r>
        <w:t xml:space="preserve"> </w:t>
      </w:r>
      <w:r>
        <w:t xml:space="preserve">to</w:t>
      </w:r>
      <w:r>
        <w:t xml:space="preserve"> </w:t>
      </w:r>
      <w:r>
        <w:t xml:space="preserve">“how far you fall when someone leaves.”</w:t>
      </w:r>
    </w:p>
    <w:bookmarkEnd w:id="27"/>
    <w:bookmarkStart w:id="28" w:name="operationalizing-the-ari"/>
    <w:p>
      <w:pPr>
        <w:pStyle w:val="Heading2"/>
      </w:pPr>
      <w:r>
        <w:rPr>
          <w:rStyle w:val="SectionNumber"/>
        </w:rPr>
        <w:t xml:space="preserve">5.2</w:t>
      </w:r>
      <w:r>
        <w:tab/>
      </w:r>
      <w:r>
        <w:t xml:space="preserve">Operationalizing the ARI</w:t>
      </w:r>
    </w:p>
    <w:p>
      <w:pPr>
        <w:pStyle w:val="FirstParagraph"/>
      </w:pPr>
      <w:r>
        <w:t xml:space="preserve">Each ARI dimension (Table 1) can be scored on a Likert-type scale from 1 (fragile) to 5 (antifragile). For example, the</w:t>
      </w:r>
      <w:r>
        <w:t xml:space="preserve"> </w:t>
      </w:r>
      <w:r>
        <w:t xml:space="preserve">“Knowledge Locus”</w:t>
      </w:r>
      <w:r>
        <w:t xml:space="preserve"> </w:t>
      </w:r>
      <w:r>
        <w:t xml:space="preserve">dimension would be scored by surveying whether key analytical queries are documented in a shared, version-controlled repository (score 5) or known only to named individuals who could leave at any time (score 1). Similarly,</w:t>
      </w:r>
      <w:r>
        <w:t xml:space="preserve"> </w:t>
      </w:r>
      <w:r>
        <w:t xml:space="preserve">“Turnover Impact”</w:t>
      </w:r>
      <w:r>
        <w:t xml:space="preserve"> </w:t>
      </w:r>
      <w:r>
        <w:t xml:space="preserve">could be assessed through scenario exercises that simulate the departure of a critical team member and measure the time required to restore reporting capability. An aggregate ARI score across all dimensions provides a composite indicator of organizational resilience posture, enabling longitudinal tracking and cross-institutional benchmarking.</w:t>
      </w:r>
    </w:p>
    <w:p>
      <w:pPr>
        <w:pStyle w:val="BodyText"/>
      </w:pPr>
      <w:r>
        <w:t xml:space="preserve">The</w:t>
      </w:r>
      <w:r>
        <w:t xml:space="preserve"> </w:t>
      </w:r>
      <w:r>
        <w:t xml:space="preserve">“Schema Coupling”</w:t>
      </w:r>
      <w:r>
        <w:t xml:space="preserve"> </w:t>
      </w:r>
      <w:r>
        <w:t xml:space="preserve">dimension can be operationalized through</w:t>
      </w:r>
      <w:r>
        <w:t xml:space="preserve"> </w:t>
      </w:r>
      <w:r>
        <w:rPr>
          <w:i/>
          <w:iCs/>
        </w:rPr>
        <w:t xml:space="preserve">Continuous Analytic Integration</w:t>
      </w:r>
      <w:r>
        <w:t xml:space="preserve">: treating validated query triples not as static wiki entries but as software assets within a CI/CD pipeline</w:t>
      </w:r>
      <w:r>
        <w:t xml:space="preserve"> </w:t>
      </w:r>
      <w:r>
        <w:t xml:space="preserve">(</w:t>
      </w:r>
      <w:hyperlink w:anchor="ref-valiaiev2025">
        <w:r>
          <w:rPr>
            <w:rStyle w:val="Hyperlink"/>
          </w:rPr>
          <w:t xml:space="preserve">55</w:t>
        </w:r>
      </w:hyperlink>
      <w:r>
        <w:t xml:space="preserve">)</w:t>
      </w:r>
      <w:r>
        <w:t xml:space="preserve">. When a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r>
        <w:t xml:space="preserve"> </w:t>
      </w:r>
      <w:r>
        <w:t xml:space="preserve">(</w:t>
      </w:r>
      <w:hyperlink w:anchor="ref-betha2023">
        <w:r>
          <w:rPr>
            <w:rStyle w:val="Hyperlink"/>
          </w:rPr>
          <w:t xml:space="preserve">56</w:t>
        </w:r>
      </w:hyperlink>
      <w:r>
        <w:t xml:space="preserve">)</w:t>
      </w:r>
      <w:r>
        <w:t xml:space="preserve">. Existing NL2SQL systems are known to lack resilience to vocabulary drift and OMOP CDM schema changes</w:t>
      </w:r>
      <w:r>
        <w:t xml:space="preserve"> </w:t>
      </w:r>
      <w:r>
        <w:t xml:space="preserve">(</w:t>
      </w:r>
      <w:hyperlink w:anchor="ref-kottam2025">
        <w:r>
          <w:rPr>
            <w:rStyle w:val="Hyperlink"/>
          </w:rPr>
          <w:t xml:space="preserve">57</w:t>
        </w:r>
      </w:hyperlink>
      <w:r>
        <w:t xml:space="preserve">)</w:t>
      </w:r>
      <w:r>
        <w:t xml:space="preserve">, making such automated regression essential.</w:t>
      </w:r>
    </w:p>
    <w:p>
      <w:pPr>
        <w:pStyle w:val="BodyText"/>
      </w:pPr>
      <w:r>
        <w:t xml:space="preserve">A recent systematic review identified 23 distinct organizational resilience instruments applied in health facilities, yet found no consensus on what to measure or which indicators to use</w:t>
      </w:r>
      <w:r>
        <w:t xml:space="preserve"> </w:t>
      </w:r>
      <w:r>
        <w:t xml:space="preserve">(</w:t>
      </w:r>
      <w:hyperlink w:anchor="ref-ignatowicz2023">
        <w:r>
          <w:rPr>
            <w:rStyle w:val="Hyperlink"/>
          </w:rPr>
          <w:t xml:space="preserve">58</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59</w:t>
        </w:r>
      </w:hyperlink>
      <w:r>
        <w:t xml:space="preserve">)</w:t>
      </w:r>
      <w:r>
        <w:t xml:space="preserve">. The newest, the Resilience in Healthcare Capacities Assessment (RHCA), demonstrates significant correlations between organizational resilience and both staff turnover intention and patient safety outcomes</w:t>
      </w:r>
      <w:r>
        <w:t xml:space="preserve"> </w:t>
      </w:r>
      <w:r>
        <w:t xml:space="preserve">(</w:t>
      </w:r>
      <w:hyperlink w:anchor="ref-ellis2026">
        <w:r>
          <w:rPr>
            <w:rStyle w:val="Hyperlink"/>
          </w:rPr>
          <w:t xml:space="preserve">60</w:t>
        </w:r>
      </w:hyperlink>
      <w:r>
        <w:t xml:space="preserve">)</w:t>
      </w:r>
      <w:r>
        <w:t xml:space="preserve">. The ARI extends this emerging measurement tradition into the specific domain of analytics capability resilience, which no existing instrument addresses. Both the ARI and the broader pillar assessment require psychometric development, including construct validation, inter-rater reliability testing, and discriminant validity assessment against AMAM, before organizational deployment. This development is planned for future work in this series.</w:t>
      </w:r>
    </w:p>
    <w:p>
      <w:pPr>
        <w:pStyle w:val="BodyText"/>
      </w:pPr>
      <w:r>
        <w:t xml:space="preserve">Critically, the ARI complements rather than replaces AMAM. Where AMAM measures the sophistication of an organization’s analytical capabilities at a point in time, the ARI measures the durability of those capabilities under workforce stress. An organization should aspire to high scores on both instruments: AMAM for capability and ARI for sustainability. Used together, they provide a two-dimensional view of analytics health that neither instrument offers alone.</w:t>
      </w:r>
    </w:p>
    <w:p>
      <w:pPr>
        <w:pStyle w:val="TableCaption"/>
      </w:pPr>
      <w:r>
        <w:t xml:space="preserve">The Analytics Resilience Index (ARI).</w:t>
      </w:r>
      <w:r>
        <w:t xml:space="preserve"> </w:t>
      </w:r>
    </w:p>
    <w:tbl>
      <w:tblPr>
        <w:tblStyle w:val="Table"/>
        <w:tblW w:type="pct" w:w="5000"/>
        <w:tblLayout w:type="fixed"/>
        <w:tblLook w:firstRow="1" w:lastRow="0" w:firstColumn="0" w:lastColumn="0" w:noHBand="0" w:noVBand="0" w:val="0020"/>
        <w:tblCaption w:val="The Analytics Resilience Index (ARI). "/>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Low Resilience (Fragile)</w:t>
            </w:r>
          </w:p>
        </w:tc>
        <w:tc>
          <w:tcPr/>
          <w:p>
            <w:pPr>
              <w:pStyle w:val="Compact"/>
              <w:jc w:val="left"/>
            </w:pPr>
            <w:r>
              <w:t xml:space="preserve">High Resilience (Antifragile)</w:t>
            </w:r>
          </w:p>
        </w:tc>
        <w:tc>
          <w:tcPr/>
          <w:p>
            <w:pPr>
              <w:pStyle w:val="Compact"/>
              <w:jc w:val="left"/>
            </w:pPr>
            <w:r>
              <w:t xml:space="preserve">Evidence</w:t>
            </w:r>
          </w:p>
        </w:tc>
      </w:tr>
      <w:tr>
        <w:tc>
          <w:tcPr/>
          <w:p>
            <w:pPr>
              <w:pStyle w:val="Compact"/>
              <w:jc w:val="left"/>
            </w:pPr>
            <w:r>
              <w:rPr>
                <w:b/>
                <w:bCs/>
              </w:rPr>
              <w:t xml:space="preserve">Knowledge Locus</w:t>
            </w:r>
          </w:p>
        </w:tc>
        <w:tc>
          <w:tcPr/>
          <w:p>
            <w:pPr>
              <w:pStyle w:val="Compact"/>
              <w:jc w:val="left"/>
            </w:pPr>
            <w:r>
              <w:t xml:space="preserve">Knowledge resides in</w:t>
            </w:r>
            <w:r>
              <w:t xml:space="preserve"> </w:t>
            </w:r>
            <w:r>
              <w:t xml:space="preserve">“Hero”</w:t>
            </w:r>
            <w:r>
              <w:t xml:space="preserve"> </w:t>
            </w:r>
            <w:r>
              <w:t xml:space="preserve">analysts.</w:t>
            </w:r>
          </w:p>
        </w:tc>
        <w:tc>
          <w:tcPr/>
          <w:p>
            <w:pPr>
              <w:pStyle w:val="Compact"/>
              <w:jc w:val="left"/>
            </w:pPr>
            <w:r>
              <w:t xml:space="preserve">Knowledge resides in the System/Repository.</w:t>
            </w:r>
          </w:p>
        </w:tc>
        <w:tc>
          <w:tcPr/>
          <w:p>
            <w:pPr>
              <w:pStyle w:val="Compact"/>
              <w:jc w:val="left"/>
            </w:pPr>
            <w:r>
              <w:t xml:space="preserve">(</w:t>
            </w:r>
            <w:hyperlink w:anchor="ref-hong2025">
              <w:r>
                <w:rPr>
                  <w:rStyle w:val="Hyperlink"/>
                </w:rPr>
                <w:t xml:space="preserve">4</w:t>
              </w:r>
            </w:hyperlink>
            <w:r>
              <w:t xml:space="preserve">,</w:t>
            </w:r>
            <w:hyperlink w:anchor="ref-benbya2004">
              <w:r>
                <w:rPr>
                  <w:rStyle w:val="Hyperlink"/>
                </w:rPr>
                <w:t xml:space="preserve">31</w:t>
              </w:r>
            </w:hyperlink>
            <w:r>
              <w:t xml:space="preserve">)</w:t>
            </w:r>
          </w:p>
        </w:tc>
      </w:tr>
      <w:tr>
        <w:tc>
          <w:tcPr/>
          <w:p>
            <w:pPr>
              <w:pStyle w:val="Compact"/>
              <w:jc w:val="left"/>
            </w:pPr>
            <w:r>
              <w:rPr>
                <w:b/>
                <w:bCs/>
              </w:rPr>
              <w:t xml:space="preserve">Turnover Impact</w:t>
            </w:r>
          </w:p>
        </w:tc>
        <w:tc>
          <w:tcPr/>
          <w:p>
            <w:pPr>
              <w:pStyle w:val="Compact"/>
              <w:jc w:val="left"/>
            </w:pPr>
            <w:r>
              <w:t xml:space="preserve">Departure of 1 staff member stops reporting.</w:t>
            </w:r>
          </w:p>
        </w:tc>
        <w:tc>
          <w:tcPr/>
          <w:p>
            <w:pPr>
              <w:pStyle w:val="Compact"/>
              <w:jc w:val="left"/>
            </w:pPr>
            <w:r>
              <w:t xml:space="preserve">Departure causes minimal disruption; successors inherit queries.</w:t>
            </w:r>
          </w:p>
        </w:tc>
        <w:tc>
          <w:tcPr/>
          <w:p>
            <w:pPr>
              <w:pStyle w:val="Compact"/>
              <w:jc w:val="left"/>
            </w:pPr>
            <w:r>
              <w:t xml:space="preserve">(</w:t>
            </w:r>
            <w:hyperlink w:anchor="ref-rao2006">
              <w:r>
                <w:rPr>
                  <w:rStyle w:val="Hyperlink"/>
                </w:rPr>
                <w:t xml:space="preserve">11</w:t>
              </w:r>
            </w:hyperlink>
            <w:r>
              <w:t xml:space="preserve">,</w:t>
            </w:r>
            <w:hyperlink w:anchor="ref-massingham2018">
              <w:r>
                <w:rPr>
                  <w:rStyle w:val="Hyperlink"/>
                </w:rPr>
                <w:t xml:space="preserve">23</w:t>
              </w:r>
            </w:hyperlink>
            <w:r>
              <w:t xml:space="preserve">)</w:t>
            </w:r>
          </w:p>
        </w:tc>
      </w:tr>
      <w:tr>
        <w:tc>
          <w:tcPr/>
          <w:p>
            <w:pPr>
              <w:pStyle w:val="Compact"/>
              <w:jc w:val="left"/>
            </w:pPr>
            <w:r>
              <w:rPr>
                <w:b/>
                <w:bCs/>
              </w:rPr>
              <w:t xml:space="preserve">Validation Mode</w:t>
            </w:r>
          </w:p>
        </w:tc>
        <w:tc>
          <w:tcPr/>
          <w:p>
            <w:pPr>
              <w:pStyle w:val="Compact"/>
              <w:jc w:val="left"/>
            </w:pPr>
            <w:r>
              <w:t xml:space="preserve">Ad-hoc, email-based, ephemeral.</w:t>
            </w:r>
          </w:p>
        </w:tc>
        <w:tc>
          <w:tcPr/>
          <w:p>
            <w:pPr>
              <w:pStyle w:val="Compact"/>
              <w:jc w:val="left"/>
            </w:pPr>
            <w:r>
              <w:t xml:space="preserve">Systematic, artifact-based, durable (HiL-SG).</w:t>
            </w:r>
          </w:p>
        </w:tc>
        <w:tc>
          <w:tcPr/>
          <w:p>
            <w:pPr>
              <w:pStyle w:val="Compact"/>
              <w:jc w:val="left"/>
            </w:pPr>
            <w:r>
              <w:t xml:space="preserve">(</w:t>
            </w:r>
            <w:hyperlink w:anchor="ref-moore2018">
              <w:r>
                <w:rPr>
                  <w:rStyle w:val="Hyperlink"/>
                </w:rPr>
                <w:t xml:space="preserve">26</w:t>
              </w:r>
            </w:hyperlink>
            <w:r>
              <w:t xml:space="preserve">,</w:t>
            </w:r>
            <w:hyperlink w:anchor="ref-mosqueirarey2023">
              <w:r>
                <w:rPr>
                  <w:rStyle w:val="Hyperlink"/>
                </w:rPr>
                <w:t xml:space="preserve">30</w:t>
              </w:r>
            </w:hyperlink>
            <w:r>
              <w:t xml:space="preserve">)</w:t>
            </w:r>
          </w:p>
        </w:tc>
      </w:tr>
      <w:tr>
        <w:tc>
          <w:tcPr/>
          <w:p>
            <w:pPr>
              <w:pStyle w:val="Compact"/>
              <w:jc w:val="left"/>
            </w:pPr>
            <w:r>
              <w:rPr>
                <w:b/>
                <w:bCs/>
              </w:rPr>
              <w:t xml:space="preserve">Schema Coupling</w:t>
            </w:r>
          </w:p>
        </w:tc>
        <w:tc>
          <w:tcPr/>
          <w:p>
            <w:pPr>
              <w:pStyle w:val="Compact"/>
              <w:jc w:val="left"/>
            </w:pPr>
            <w:r>
              <w:t xml:space="preserve">Hard-coded reports break on schema change.</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HiL-SG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61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61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62</w:t>
        </w:r>
      </w:hyperlink>
      <w:r>
        <w:t xml:space="preserve">)</w:t>
      </w:r>
      <w:r>
        <w:t xml:space="preserve">. Those codified standards survived staff turnover precisely because they existed as organizational artifacts rather than as knowledge held solely by the individuals who created them. The HiL-SG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in this series (Paper 2)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63</w:t>
        </w:r>
      </w:hyperlink>
      <w:r>
        <w:t xml:space="preserve">,</w:t>
      </w:r>
      <w:hyperlink w:anchor="ref-labkoff2024">
        <w:r>
          <w:rPr>
            <w:rStyle w:val="Hyperlink"/>
          </w:rPr>
          <w:t xml:space="preserve">64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regression</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65</w:t>
        </w:r>
      </w:hyperlink>
      <w:r>
        <w:t xml:space="preserve">,</w:t>
      </w:r>
      <w:hyperlink w:anchor="ref-kalyanasundaram2025">
        <w:r>
          <w:rPr>
            <w:rStyle w:val="Hyperlink"/>
          </w:rPr>
          <w:t xml:space="preserve">66</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 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HiL-SG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HiL-SG mitigates this risk through</w:t>
      </w:r>
      <w:r>
        <w:t xml:space="preserve"> </w:t>
      </w:r>
      <w:r>
        <w:rPr>
          <w:b/>
          <w:bCs/>
        </w:rPr>
        <w:t xml:space="preserve">Cognitive Forcing Functions</w:t>
      </w:r>
      <w:r>
        <w:t xml:space="preserve"> </w:t>
      </w:r>
      <w:r>
        <w:t xml:space="preserve">(</w:t>
      </w:r>
      <w:hyperlink w:anchor="ref-ziletti2024">
        <w:r>
          <w:rPr>
            <w:rStyle w:val="Hyperlink"/>
          </w:rPr>
          <w:t xml:space="preserve">28</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67</w:t>
        </w:r>
      </w:hyperlink>
      <w:r>
        <w:t xml:space="preserve">)</w:t>
      </w:r>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HiL-SG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68</w:t>
        </w:r>
      </w:hyperlink>
      <w:r>
        <w:t xml:space="preserve">,</w:t>
      </w:r>
      <w:hyperlink w:anchor="ref-strickland2019">
        <w:r>
          <w:rPr>
            <w:rStyle w:val="Hyperlink"/>
          </w:rPr>
          <w:t xml:space="preserve">69</w:t>
        </w:r>
      </w:hyperlink>
      <w:r>
        <w:t xml:space="preserve">)</w:t>
      </w:r>
      <w:r>
        <w:t xml:space="preserve">, Haven</w:t>
      </w:r>
      <w:r>
        <w:t xml:space="preserve"> </w:t>
      </w:r>
      <w:r>
        <w:t xml:space="preserve">(</w:t>
      </w:r>
      <w:hyperlink w:anchor="ref-lavito2021">
        <w:r>
          <w:rPr>
            <w:rStyle w:val="Hyperlink"/>
          </w:rPr>
          <w:t xml:space="preserve">70</w:t>
        </w:r>
      </w:hyperlink>
      <w:r>
        <w:t xml:space="preserve">,</w:t>
      </w:r>
      <w:hyperlink w:anchor="ref-acchiardo2021">
        <w:r>
          <w:rPr>
            <w:rStyle w:val="Hyperlink"/>
          </w:rPr>
          <w:t xml:space="preserve">71</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72</w:t>
        </w:r>
      </w:hyperlink>
      <w:r>
        <w:t xml:space="preserve">)</w:t>
      </w:r>
      <w:r>
        <w:t xml:space="preserve">. HiL-SG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HiL-SG architecture and the proposed Analytics Resilience Index (ARI)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Semantic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HiL-SG framework and the proposed Analytics Resilience Index. Priority questions include: how ARI scores correlate with observed continuity of analytics performance during leadership and staff turnover; whether HiL-SG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ARI: Analytics Resilience Index</w:t>
      </w:r>
      <w:r>
        <w:t xml:space="preserve"> </w:t>
      </w:r>
      <w:r>
        <w:t xml:space="preserve">CIO: Chief Information Officer</w:t>
      </w:r>
      <w:r>
        <w:t xml:space="preserve"> </w:t>
      </w:r>
      <w:r>
        <w:t xml:space="preserve">DSR: Design Science Research</w:t>
      </w:r>
      <w:r>
        <w:t xml:space="preserve"> </w:t>
      </w:r>
      <w:r>
        <w:t xml:space="preserve">EMRAM: Electronic Medical Record Adoption Model</w:t>
      </w:r>
      <w:r>
        <w:t xml:space="preserve"> </w:t>
      </w:r>
      <w:r>
        <w:t xml:space="preserve">HiL-SG: Human-in-the-Loop Semantic Governance</w:t>
      </w:r>
      <w:r>
        <w:t xml:space="preserve"> </w:t>
      </w:r>
      <w:r>
        <w:t xml:space="preserve">HIMSS: Healthcare Information Management Systems Society</w:t>
      </w:r>
      <w:r>
        <w:t xml:space="preserve"> </w:t>
      </w:r>
      <w:r>
        <w:t xml:space="preserve">HotL: Human-on-the-Loop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5" w:name="references"/>
    <w:p>
      <w:pPr>
        <w:pStyle w:val="Heading1"/>
      </w:pPr>
      <w:r>
        <w:rPr>
          <w:rStyle w:val="SectionNumber"/>
        </w:rPr>
        <w:t xml:space="preserve">17</w:t>
      </w:r>
      <w:r>
        <w:tab/>
      </w:r>
      <w:r>
        <w:t xml:space="preserve">References</w:t>
      </w:r>
    </w:p>
    <w:bookmarkStart w:id="184" w:name="refs"/>
    <w:bookmarkStart w:id="42" w:name="ref-himss2024"/>
    <w:p>
      <w:pPr>
        <w:pStyle w:val="Bibliography"/>
      </w:pPr>
      <w:r>
        <w:t xml:space="preserve">1.</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52">
        <w:r>
          <w:rPr>
            <w:rStyle w:val="Hyperlink"/>
          </w:rPr>
          <w:t xml:space="preserve">https://academic.oup.com/jpubhealth</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56">
        <w:r>
          <w:rPr>
            <w:rStyle w:val="Hyperlink"/>
          </w:rPr>
          <w:t xml:space="preserve">https://www.sciencedirect.com/science/article/abs/pii/S0040162516000500</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58">
        <w:r>
          <w:rPr>
            <w:rStyle w:val="Hyperlink"/>
          </w:rPr>
          <w:t xml:space="preserve">https://arxiv.org/abs/1908.01839</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62">
        <w:r>
          <w:rPr>
            <w:rStyle w:val="Hyperlink"/>
          </w:rPr>
          <w:t xml:space="preserve">https://www.redjournal.org/article/S0360-3016(16)00260-1/fulltext</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64">
        <w:r>
          <w:rPr>
            <w:rStyle w:val="Hyperlink"/>
          </w:rPr>
          <w:t xml:space="preserve">https://human-resources-health.biomedcentral.com/articles/10.1186/1478-4491-11-35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66">
        <w:r>
          <w:rPr>
            <w:rStyle w:val="Hyperlink"/>
          </w:rPr>
          <w:t xml:space="preserve">https://pubmed.ncbi.nlm.nih.gov/20054502/</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68">
        <w:r>
          <w:rPr>
            <w:rStyle w:val="Hyperlink"/>
          </w:rPr>
          <w:t xml:space="preserve">https://dl.acm.org/doi/10.1145/1017114.1017118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70">
        <w:r>
          <w:rPr>
            <w:rStyle w:val="Hyperlink"/>
          </w:rPr>
          <w:t xml:space="preserve">https://www.frontiersin.org/articles/10.3389/fpsyg.2019.02730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74">
        <w:r>
          <w:rPr>
            <w:rStyle w:val="Hyperlink"/>
          </w:rPr>
          <w:t xml:space="preserve">https://www.emerald.com/insight/content/doi/10.1108/13673270610650067/full/html</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80">
        <w:r>
          <w:rPr>
            <w:rStyle w:val="Hyperlink"/>
          </w:rPr>
          <w:t xml:space="preserve">https://pmc.ncbi.nlm.nih.gov/articles/PMC10802134/</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82">
        <w:r>
          <w:rPr>
            <w:rStyle w:val="Hyperlink"/>
          </w:rPr>
          <w:t xml:space="preserve">https://pmc.ncbi.nlm.nih.gov/articles/PMC11919231/</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84">
        <w:r>
          <w:rPr>
            <w:rStyle w:val="Hyperlink"/>
          </w:rPr>
          <w:t xml:space="preserve">https://doi.org/10.1108/JKM-08-2016-0338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86">
        <w:r>
          <w:rPr>
            <w:rStyle w:val="Hyperlink"/>
          </w:rPr>
          <w:t xml:space="preserve">https://www.emerald.com/insight/content/doi/10.1108/JKM-03-2024-0262/full/html</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88">
        <w:r>
          <w:rPr>
            <w:rStyle w:val="Hyperlink"/>
          </w:rPr>
          <w:t xml:space="preserve">https://onlinelibrary.wiley.com/doi/abs/10.1111/j.1540-5885.2010.00798.x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90">
        <w:r>
          <w:rPr>
            <w:rStyle w:val="Hyperlink"/>
          </w:rPr>
          <w:t xml:space="preserve">https://wendyju.com/publications/18_ijee3593.pdf</w:t>
        </w:r>
      </w:hyperlink>
    </w:p>
    <w:bookmarkEnd w:id="91"/>
    <w:bookmarkStart w:id="93" w:name="ref-lee2023"/>
    <w:p>
      <w:pPr>
        <w:pStyle w:val="Bibliography"/>
      </w:pPr>
      <w:r>
        <w:t xml:space="preserve">27.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92">
        <w:r>
          <w:rPr>
            <w:rStyle w:val="Hyperlink"/>
          </w:rPr>
          <w:t xml:space="preserve">https://arxiv.org/abs/2301.07695</w:t>
        </w:r>
      </w:hyperlink>
    </w:p>
    <w:bookmarkEnd w:id="93"/>
    <w:bookmarkStart w:id="95" w:name="ref-ziletti2024"/>
    <w:p>
      <w:pPr>
        <w:pStyle w:val="Bibliography"/>
      </w:pPr>
      <w:r>
        <w:t xml:space="preserve">28.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94">
        <w:r>
          <w:rPr>
            <w:rStyle w:val="Hyperlink"/>
          </w:rPr>
          <w:t xml:space="preserve">https://arxiv.org/abs/2403.09226</w:t>
        </w:r>
      </w:hyperlink>
    </w:p>
    <w:bookmarkEnd w:id="95"/>
    <w:bookmarkStart w:id="97" w:name="ref-bravorocca2023"/>
    <w:p>
      <w:pPr>
        <w:pStyle w:val="Bibliography"/>
      </w:pPr>
      <w:r>
        <w:t xml:space="preserve">29.</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96">
        <w:r>
          <w:rPr>
            <w:rStyle w:val="Hyperlink"/>
          </w:rPr>
          <w:t xml:space="preserve">https://www.tdx.cat/bitstream/handle/10803/695722/TGJBR1de1.pdf?sequence=1</w:t>
        </w:r>
      </w:hyperlink>
    </w:p>
    <w:bookmarkEnd w:id="97"/>
    <w:bookmarkStart w:id="99" w:name="ref-mosqueirarey2023"/>
    <w:p>
      <w:pPr>
        <w:pStyle w:val="Bibliography"/>
      </w:pPr>
      <w:r>
        <w:t xml:space="preserve">30.</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98">
        <w:r>
          <w:rPr>
            <w:rStyle w:val="Hyperlink"/>
          </w:rPr>
          <w:t xml:space="preserve">https://link.springer.com/content/pdf/10.1007/s10462-022-10246-w.pdf</w:t>
        </w:r>
      </w:hyperlink>
    </w:p>
    <w:bookmarkEnd w:id="99"/>
    <w:bookmarkStart w:id="10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00">
        <w:r>
          <w:rPr>
            <w:rStyle w:val="Hyperlink"/>
          </w:rPr>
          <w:t xml:space="preserve">https://doi.org/10.1016/j.ijinfomgt.2003.12.012</w:t>
        </w:r>
      </w:hyperlink>
    </w:p>
    <w:bookmarkEnd w:id="101"/>
    <w:bookmarkStart w:id="103" w:name="ref-whittaker2008"/>
    <w:p>
      <w:pPr>
        <w:pStyle w:val="Bibliography"/>
      </w:pPr>
      <w:r>
        <w:t xml:space="preserve">32.</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102">
        <w:r>
          <w:rPr>
            <w:rStyle w:val="Hyperlink"/>
          </w:rPr>
          <w:t xml:space="preserve">https://www.academia.edu/download/41283190/Design_and_evaluation_of_systems_to_supp20160117-25708-98zc50.pdf</w:t>
        </w:r>
      </w:hyperlink>
    </w:p>
    <w:bookmarkEnd w:id="103"/>
    <w:bookmarkStart w:id="105" w:name="ref-mannapur2025"/>
    <w:p>
      <w:pPr>
        <w:pStyle w:val="Bibliography"/>
      </w:pPr>
      <w:r>
        <w:t xml:space="preserve">33.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104">
        <w:r>
          <w:rPr>
            <w:rStyle w:val="Hyperlink"/>
          </w:rPr>
          <w:t xml:space="preserve">https://www.quantbeckman.com/api/v1/file/5b240742-bf0d-4f8c-a0f9-cb29fab42611.pdf</w:t>
        </w:r>
      </w:hyperlink>
    </w:p>
    <w:bookmarkEnd w:id="105"/>
    <w:bookmarkStart w:id="107" w:name="ref-battula2025"/>
    <w:p>
      <w:pPr>
        <w:pStyle w:val="Bibliography"/>
      </w:pPr>
      <w:r>
        <w:t xml:space="preserve">34.</w:t>
      </w:r>
      <w:r>
        <w:t xml:space="preserve"> </w:t>
      </w:r>
      <w:r>
        <w:t xml:space="preserve">	</w:t>
      </w:r>
      <w:r>
        <w:t xml:space="preserve">Battula SKY.</w:t>
      </w:r>
      <w:r>
        <w:t xml:space="preserve"> </w:t>
      </w:r>
      <w:hyperlink r:id="rId106">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107"/>
    <w:bookmarkStart w:id="109" w:name="ref-himss2024news"/>
    <w:p>
      <w:pPr>
        <w:pStyle w:val="Bibliography"/>
      </w:pPr>
      <w:r>
        <w:t xml:space="preserve">35.</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08">
        <w:r>
          <w:rPr>
            <w:rStyle w:val="Hyperlink"/>
          </w:rPr>
          <w:t xml:space="preserve">https://www.healthcareitnews.com/news/asia/himss24-apac-adoption-model-analytics-maturity-gets-facelift</w:t>
        </w:r>
      </w:hyperlink>
    </w:p>
    <w:bookmarkEnd w:id="109"/>
    <w:bookmarkStart w:id="111" w:name="ref-health2020"/>
    <w:p>
      <w:pPr>
        <w:pStyle w:val="Bibliography"/>
      </w:pPr>
      <w:r>
        <w:t xml:space="preserve">36.</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10">
        <w:r>
          <w:rPr>
            <w:rStyle w:val="Hyperlink"/>
          </w:rPr>
          <w:t xml:space="preserve">https://www.healthcatalyst.com/learn/insights/healthcare-analytics-adoption-model-roadmap-analytic-maturity</w:t>
        </w:r>
      </w:hyperlink>
    </w:p>
    <w:bookmarkEnd w:id="111"/>
    <w:bookmarkStart w:id="113" w:name="ref-snowdon2024"/>
    <w:p>
      <w:pPr>
        <w:pStyle w:val="Bibliography"/>
      </w:pPr>
      <w:r>
        <w:t xml:space="preserve">37.</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2">
        <w:r>
          <w:rPr>
            <w:rStyle w:val="Hyperlink"/>
          </w:rPr>
          <w:t xml:space="preserve">https://www.jmir.org/2024/1/e56316</w:t>
        </w:r>
      </w:hyperlink>
    </w:p>
    <w:bookmarkEnd w:id="113"/>
    <w:bookmarkStart w:id="115" w:name="ref-yang2021"/>
    <w:p>
      <w:pPr>
        <w:pStyle w:val="Bibliography"/>
      </w:pPr>
      <w:r>
        <w:t xml:space="preserve">38.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14">
        <w:r>
          <w:rPr>
            <w:rStyle w:val="Hyperlink"/>
          </w:rPr>
          <w:t xml:space="preserve">https://jamanetwork.com/journals/jamanetworkopen/fullarticle/2777777</w:t>
        </w:r>
      </w:hyperlink>
    </w:p>
    <w:bookmarkEnd w:id="115"/>
    <w:bookmarkStart w:id="117" w:name="ref-latrella2024"/>
    <w:p>
      <w:pPr>
        <w:pStyle w:val="Bibliography"/>
      </w:pPr>
      <w:r>
        <w:t xml:space="preserve">39.</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16">
        <w:r>
          <w:rPr>
            <w:rStyle w:val="Hyperlink"/>
          </w:rPr>
          <w:t xml:space="preserve">https://www.ingentaconnect.com/content/hsp/mih/2024/00000008/00000004/art00006</w:t>
        </w:r>
      </w:hyperlink>
    </w:p>
    <w:bookmarkEnd w:id="117"/>
    <w:bookmarkStart w:id="119" w:name="ref-nashid2023"/>
    <w:p>
      <w:pPr>
        <w:pStyle w:val="Bibliography"/>
      </w:pPr>
      <w:r>
        <w:t xml:space="preserve">40.</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18">
        <w:r>
          <w:rPr>
            <w:rStyle w:val="Hyperlink"/>
          </w:rPr>
          <w:t xml:space="preserve">https://publishing.emanresearch.org/Journal/FullText/6104</w:t>
        </w:r>
      </w:hyperlink>
    </w:p>
    <w:bookmarkEnd w:id="119"/>
    <w:bookmarkStart w:id="121" w:name="ref-shahbaz2019"/>
    <w:p>
      <w:pPr>
        <w:pStyle w:val="Bibliography"/>
      </w:pPr>
      <w:r>
        <w:t xml:space="preserve">41.</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20">
        <w:r>
          <w:rPr>
            <w:rStyle w:val="Hyperlink"/>
          </w:rPr>
          <w:t xml:space="preserve">https://journalofbigdata.springeropen.com/articles/10.1186/s40537-019-0170-y</w:t>
        </w:r>
      </w:hyperlink>
    </w:p>
    <w:bookmarkEnd w:id="121"/>
    <w:bookmarkStart w:id="123" w:name="ref-kamble2019"/>
    <w:p>
      <w:pPr>
        <w:pStyle w:val="Bibliography"/>
      </w:pPr>
      <w:r>
        <w:t xml:space="preserve">42.</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22">
        <w:r>
          <w:rPr>
            <w:rStyle w:val="Hyperlink"/>
          </w:rPr>
          <w:t xml:space="preserve">https://www.tandfonline.com/doi/full/10.1080/20479700.2018.1531606</w:t>
        </w:r>
      </w:hyperlink>
    </w:p>
    <w:bookmarkEnd w:id="123"/>
    <w:bookmarkStart w:id="125" w:name="ref-wynendaele2025"/>
    <w:p>
      <w:pPr>
        <w:pStyle w:val="Bibliography"/>
      </w:pPr>
      <w:r>
        <w:t xml:space="preserve">43.</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 BMC Health Services Research [Internet]. 2025; Available from:</w:t>
      </w:r>
      <w:r>
        <w:t xml:space="preserve"> </w:t>
      </w:r>
      <w:hyperlink r:id="rId124">
        <w:r>
          <w:rPr>
            <w:rStyle w:val="Hyperlink"/>
          </w:rPr>
          <w:t xml:space="preserve">https://link.springer.com/article/10.1186/s12913-025-12966-5</w:t>
        </w:r>
      </w:hyperlink>
    </w:p>
    <w:bookmarkEnd w:id="125"/>
    <w:bookmarkStart w:id="127" w:name="ref-hackney2024"/>
    <w:p>
      <w:pPr>
        <w:pStyle w:val="Bibliography"/>
      </w:pPr>
      <w:r>
        <w:t xml:space="preserve">44.</w:t>
      </w:r>
      <w:r>
        <w:t xml:space="preserve"> </w:t>
      </w:r>
      <w:r>
        <w:t xml:space="preserve">	</w:t>
      </w:r>
      <w:r>
        <w:t xml:space="preserve">Hackney A.</w:t>
      </w:r>
      <w:r>
        <w:t xml:space="preserve"> </w:t>
      </w:r>
      <w:r>
        <w:t xml:space="preserve">Onboarding New Hires in the Clinical Informatics and Practice Support (CIPS) Department With the Tiered Skills Acquisition Model (TSAM): A Program Evaluation</w:t>
      </w:r>
      <w:r>
        <w:t xml:space="preserve"> </w:t>
      </w:r>
      <w:r>
        <w:t xml:space="preserve">[Internet] [PhD thesis]. ProQuest Dissertations; 2024. Available from:</w:t>
      </w:r>
      <w:r>
        <w:t xml:space="preserve"> </w:t>
      </w:r>
      <w:hyperlink r:id="rId126">
        <w:r>
          <w:rPr>
            <w:rStyle w:val="Hyperlink"/>
          </w:rPr>
          <w:t xml:space="preserve">https://search.proquest.com/openview/9a3a9ef301c01ff0129d07f685b8643f/1</w:t>
        </w:r>
      </w:hyperlink>
    </w:p>
    <w:bookmarkEnd w:id="127"/>
    <w:bookmarkStart w:id="129" w:name="ref-blaskovic2025"/>
    <w:p>
      <w:pPr>
        <w:pStyle w:val="Bibliography"/>
      </w:pPr>
      <w:r>
        <w:t xml:space="preserve">45.</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 Big Data and Cognitive Computing [Internet]. 2025;9(10):256. Available from:</w:t>
      </w:r>
      <w:r>
        <w:t xml:space="preserve"> </w:t>
      </w:r>
      <w:hyperlink r:id="rId128">
        <w:r>
          <w:rPr>
            <w:rStyle w:val="Hyperlink"/>
          </w:rPr>
          <w:t xml:space="preserve">https://www.mdpi.com/2504-2289/9/10/256</w:t>
        </w:r>
      </w:hyperlink>
    </w:p>
    <w:bookmarkEnd w:id="129"/>
    <w:bookmarkStart w:id="131" w:name="ref-marshan2024"/>
    <w:p>
      <w:pPr>
        <w:pStyle w:val="Bibliography"/>
      </w:pPr>
      <w:r>
        <w:t xml:space="preserve">46.</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30">
        <w:r>
          <w:rPr>
            <w:rStyle w:val="Hyperlink"/>
          </w:rPr>
          <w:t xml:space="preserve">https://www.frontiersin.org/articles/10.3389/fdata.2024.1371680</w:t>
        </w:r>
      </w:hyperlink>
    </w:p>
    <w:bookmarkEnd w:id="131"/>
    <w:bookmarkStart w:id="133" w:name="ref-chen2026graph"/>
    <w:p>
      <w:pPr>
        <w:pStyle w:val="Bibliography"/>
      </w:pPr>
      <w:r>
        <w:t xml:space="preserve">47.</w:t>
      </w:r>
      <w:r>
        <w:t xml:space="preserve"> </w:t>
      </w:r>
      <w:r>
        <w:t xml:space="preserve">	</w:t>
      </w:r>
      <w:r>
        <w:t xml:space="preserve">Chen Q, Peng J, Song B, Zhou Y, Ji R.</w:t>
      </w:r>
      <w:r>
        <w:t xml:space="preserve"> </w:t>
      </w:r>
      <w:r>
        <w:t xml:space="preserve">Graph-empowered Text-to-SQL generation on Electronic Medical Records</w:t>
      </w:r>
      <w:r>
        <w:t xml:space="preserve">. Pattern Recognition [Internet]. 2026; Available from:</w:t>
      </w:r>
      <w:r>
        <w:t xml:space="preserve"> </w:t>
      </w:r>
      <w:hyperlink r:id="rId132">
        <w:r>
          <w:rPr>
            <w:rStyle w:val="Hyperlink"/>
          </w:rPr>
          <w:t xml:space="preserve">https://www.sciencedirect.com/science/article/pii/S0031320325004601</w:t>
        </w:r>
      </w:hyperlink>
    </w:p>
    <w:bookmarkEnd w:id="133"/>
    <w:bookmarkStart w:id="135" w:name="ref-tarbell2024"/>
    <w:p>
      <w:pPr>
        <w:pStyle w:val="Bibliography"/>
      </w:pPr>
      <w:r>
        <w:t xml:space="preserve">48.</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 AMIA annual symposium proceedings [Internet]. 2024. Available from:</w:t>
      </w:r>
      <w:r>
        <w:t xml:space="preserve"> </w:t>
      </w:r>
      <w:hyperlink r:id="rId134">
        <w:r>
          <w:rPr>
            <w:rStyle w:val="Hyperlink"/>
          </w:rPr>
          <w:t xml:space="preserve">https://pmc.ncbi.nlm.nih.gov/articles/PMC10785918/</w:t>
        </w:r>
      </w:hyperlink>
    </w:p>
    <w:bookmarkEnd w:id="135"/>
    <w:bookmarkStart w:id="137" w:name="ref-yuan2019"/>
    <w:p>
      <w:pPr>
        <w:pStyle w:val="Bibliography"/>
      </w:pPr>
      <w:r>
        <w:t xml:space="preserve">49.</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 Journal of the American Medical Informatics Association [Internet]. 2019;26(4):294–305. Available from:</w:t>
      </w:r>
      <w:r>
        <w:t xml:space="preserve"> </w:t>
      </w:r>
      <w:hyperlink r:id="rId136">
        <w:r>
          <w:rPr>
            <w:rStyle w:val="Hyperlink"/>
          </w:rPr>
          <w:t xml:space="preserve">https://academic.oup.com/jamia/article-abstract/26/4/294/5308980</w:t>
        </w:r>
      </w:hyperlink>
    </w:p>
    <w:bookmarkEnd w:id="137"/>
    <w:bookmarkStart w:id="139" w:name="ref-nittala2024"/>
    <w:p>
      <w:pPr>
        <w:pStyle w:val="Bibliography"/>
      </w:pPr>
      <w:r>
        <w:t xml:space="preserve">50.</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 International Journal of Emerging Trends in Computer Science and Information Technology [Internet]. 2024; Available from:</w:t>
      </w:r>
      <w:r>
        <w:t xml:space="preserve"> </w:t>
      </w:r>
      <w:hyperlink r:id="rId138">
        <w:r>
          <w:rPr>
            <w:rStyle w:val="Hyperlink"/>
          </w:rPr>
          <w:t xml:space="preserve">https://www.ijetcsit.org/index.php/ijetcsit/article/view/458</w:t>
        </w:r>
      </w:hyperlink>
    </w:p>
    <w:bookmarkEnd w:id="139"/>
    <w:bookmarkStart w:id="141" w:name="ref-anthropic2025"/>
    <w:p>
      <w:pPr>
        <w:pStyle w:val="Bibliography"/>
      </w:pPr>
      <w:r>
        <w:t xml:space="preserve">51.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40">
        <w:r>
          <w:rPr>
            <w:rStyle w:val="Hyperlink"/>
          </w:rPr>
          <w:t xml:space="preserve">https://resources.anthropic.com/code-modernization-playbook</w:t>
        </w:r>
      </w:hyperlink>
    </w:p>
    <w:bookmarkEnd w:id="141"/>
    <w:bookmarkStart w:id="143" w:name="ref-hendrix1978"/>
    <w:p>
      <w:pPr>
        <w:pStyle w:val="Bibliography"/>
      </w:pPr>
      <w:r>
        <w:t xml:space="preserve">52.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2">
        <w:r>
          <w:rPr>
            <w:rStyle w:val="Hyperlink"/>
          </w:rPr>
          <w:t xml:space="preserve">https://dl.acm.org/doi/abs/10.1145/320251.320253</w:t>
        </w:r>
      </w:hyperlink>
    </w:p>
    <w:bookmarkEnd w:id="143"/>
    <w:bookmarkStart w:id="145" w:name="ref-ogunwole2023"/>
    <w:p>
      <w:pPr>
        <w:pStyle w:val="Bibliography"/>
      </w:pPr>
      <w:r>
        <w:t xml:space="preserve">53.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4">
        <w:r>
          <w:rPr>
            <w:rStyle w:val="Hyperlink"/>
          </w:rPr>
          <w:t xml:space="preserve">https://www.allmultidisciplinaryjournal.com/uploads/archives/20250306182550_MGE-2025-2-018.1.pdf</w:t>
        </w:r>
      </w:hyperlink>
    </w:p>
    <w:bookmarkEnd w:id="145"/>
    <w:bookmarkStart w:id="147" w:name="ref-arora2025"/>
    <w:p>
      <w:pPr>
        <w:pStyle w:val="Bibliography"/>
      </w:pPr>
      <w:r>
        <w:t xml:space="preserve">54.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6">
        <w:r>
          <w:rPr>
            <w:rStyle w:val="Hyperlink"/>
          </w:rPr>
          <w:t xml:space="preserve">https://papers.ssrn.com/sol3/papers.cfm?abstract_id=5268176</w:t>
        </w:r>
      </w:hyperlink>
    </w:p>
    <w:bookmarkEnd w:id="147"/>
    <w:bookmarkStart w:id="149" w:name="ref-valiaiev2025"/>
    <w:p>
      <w:pPr>
        <w:pStyle w:val="Bibliography"/>
      </w:pPr>
      <w:r>
        <w:t xml:space="preserve">55.</w:t>
      </w:r>
      <w:r>
        <w:t xml:space="preserve"> </w:t>
      </w:r>
      <w:r>
        <w:t xml:space="preserve">	</w:t>
      </w:r>
      <w:r>
        <w:t xml:space="preserve">Valiaiev D.</w:t>
      </w:r>
      <w:r>
        <w:t xml:space="preserve"> </w:t>
      </w:r>
      <w:r>
        <w:t xml:space="preserve">Implementing DataOps: A Scalable Framework for Modern Data Warehousing</w:t>
      </w:r>
      <w:r>
        <w:t xml:space="preserve"> </w:t>
      </w:r>
      <w:r>
        <w:t xml:space="preserve">[Internet] [PhD thesis]. ProQuest Dissertations; 2025. Available from:</w:t>
      </w:r>
      <w:r>
        <w:t xml:space="preserve"> </w:t>
      </w:r>
      <w:hyperlink r:id="rId148">
        <w:r>
          <w:rPr>
            <w:rStyle w:val="Hyperlink"/>
          </w:rPr>
          <w:t xml:space="preserve">https://search.proquest.com/openview/aa9acce88c488cbb8c6b3c8339062319/1</w:t>
        </w:r>
      </w:hyperlink>
    </w:p>
    <w:bookmarkEnd w:id="149"/>
    <w:bookmarkStart w:id="151" w:name="ref-betha2023"/>
    <w:p>
      <w:pPr>
        <w:pStyle w:val="Bibliography"/>
      </w:pPr>
      <w:r>
        <w:t xml:space="preserve">56.</w:t>
      </w:r>
      <w:r>
        <w:t xml:space="preserve"> </w:t>
      </w:r>
      <w:r>
        <w:t xml:space="preserve">	</w:t>
      </w:r>
      <w:r>
        <w:t xml:space="preserve">Betha R.</w:t>
      </w:r>
      <w:r>
        <w:t xml:space="preserve"> </w:t>
      </w:r>
      <w:r>
        <w:t xml:space="preserve">Data Observability and Data Quality Automation: Building Self-Healing Data Pipelines</w:t>
      </w:r>
      <w:r>
        <w:t xml:space="preserve">. International Journal of Artificial Intelligence and Data Research [Internet]. 2023; Available from:</w:t>
      </w:r>
      <w:r>
        <w:t xml:space="preserve"> </w:t>
      </w:r>
      <w:hyperlink r:id="rId150">
        <w:r>
          <w:rPr>
            <w:rStyle w:val="Hyperlink"/>
          </w:rPr>
          <w:t xml:space="preserve">https://www.ijaidr.com/papers/2023/1/1299.pdf</w:t>
        </w:r>
      </w:hyperlink>
    </w:p>
    <w:bookmarkEnd w:id="151"/>
    <w:bookmarkStart w:id="153" w:name="ref-kottam2025"/>
    <w:p>
      <w:pPr>
        <w:pStyle w:val="Bibliography"/>
      </w:pPr>
      <w:r>
        <w:t xml:space="preserve">57.</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 2025 IEEE/ACM 47th international conference on software engineering: Software engineering in practice (ICSE-SEIP) [Internet]. 2025. Available from:</w:t>
      </w:r>
      <w:r>
        <w:t xml:space="preserve"> </w:t>
      </w:r>
      <w:hyperlink r:id="rId152">
        <w:r>
          <w:rPr>
            <w:rStyle w:val="Hyperlink"/>
          </w:rPr>
          <w:t xml:space="preserve">https://ieeexplore.ieee.org/abstract/document/11402102/</w:t>
        </w:r>
      </w:hyperlink>
    </w:p>
    <w:bookmarkEnd w:id="153"/>
    <w:bookmarkStart w:id="155" w:name="ref-ignatowicz2023"/>
    <w:p>
      <w:pPr>
        <w:pStyle w:val="Bibliography"/>
      </w:pPr>
      <w:r>
        <w:t xml:space="preserve">58.</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 BMC Health Services Research [Internet]. 2023;23:242. Available from:</w:t>
      </w:r>
      <w:r>
        <w:t xml:space="preserve"> </w:t>
      </w:r>
      <w:hyperlink r:id="rId154">
        <w:r>
          <w:rPr>
            <w:rStyle w:val="Hyperlink"/>
          </w:rPr>
          <w:t xml:space="preserve">https://link.springer.com/article/10.1186/s12913-023-09242-9</w:t>
        </w:r>
      </w:hyperlink>
    </w:p>
    <w:bookmarkEnd w:id="155"/>
    <w:bookmarkStart w:id="157" w:name="ref-ratliff2025"/>
    <w:p>
      <w:pPr>
        <w:pStyle w:val="Bibliography"/>
      </w:pPr>
      <w:r>
        <w:t xml:space="preserve">59.</w:t>
      </w:r>
      <w:r>
        <w:t xml:space="preserve"> </w:t>
      </w:r>
      <w:r>
        <w:t xml:space="preserve">	</w:t>
      </w:r>
      <w:r>
        <w:t xml:space="preserve">Ratliff HC, Lee KA, Buchbinder M, Kelly LA, et al.</w:t>
      </w:r>
      <w:r>
        <w:t xml:space="preserve"> </w:t>
      </w:r>
      <w:r>
        <w:t xml:space="preserve">Organizational resilience in healthcare: a scoping review</w:t>
      </w:r>
      <w:r>
        <w:t xml:space="preserve">. Journal of Healthcare Management [Internet]. 2025;70(3). Available from:</w:t>
      </w:r>
      <w:r>
        <w:t xml:space="preserve"> </w:t>
      </w:r>
      <w:hyperlink r:id="rId156">
        <w:r>
          <w:rPr>
            <w:rStyle w:val="Hyperlink"/>
          </w:rPr>
          <w:t xml:space="preserve">https://journals.lww.com/jhmonline/fulltext/2025/05000/organizational_resilience_in_healthcare__a_scoping.4.aspx</w:t>
        </w:r>
      </w:hyperlink>
    </w:p>
    <w:bookmarkEnd w:id="157"/>
    <w:bookmarkStart w:id="159" w:name="ref-ellis2026"/>
    <w:p>
      <w:pPr>
        <w:pStyle w:val="Bibliography"/>
      </w:pPr>
      <w:r>
        <w:t xml:space="preserve">60.</w:t>
      </w:r>
      <w:r>
        <w:t xml:space="preserve"> </w:t>
      </w:r>
      <w:r>
        <w:t xml:space="preserve">	</w:t>
      </w:r>
      <w:r>
        <w:t xml:space="preserve">Ellis LA, Lyng HB, Haraldseid-Driftland C, Saba M, et al.</w:t>
      </w:r>
      <w:r>
        <w:t xml:space="preserve"> </w:t>
      </w:r>
      <w:r>
        <w:t xml:space="preserve">From theory to measurement: Development and initial validation of the Resilience in Healthcare Capacities Assessment (RHCA)</w:t>
      </w:r>
      <w:r>
        <w:t xml:space="preserve">. Applied Ergonomics [Internet]. 2026; Available from:</w:t>
      </w:r>
      <w:r>
        <w:t xml:space="preserve"> </w:t>
      </w:r>
      <w:hyperlink r:id="rId158">
        <w:r>
          <w:rPr>
            <w:rStyle w:val="Hyperlink"/>
          </w:rPr>
          <w:t xml:space="preserve">https://www.sciencedirect.com/science/article/pii/S0003687026000463</w:t>
        </w:r>
      </w:hyperlink>
    </w:p>
    <w:bookmarkEnd w:id="159"/>
    <w:bookmarkStart w:id="161" w:name="ref-alukal2006"/>
    <w:p>
      <w:pPr>
        <w:pStyle w:val="Bibliography"/>
      </w:pPr>
      <w:r>
        <w:t xml:space="preserve">61.</w:t>
      </w:r>
      <w:r>
        <w:t xml:space="preserve"> </w:t>
      </w:r>
      <w:r>
        <w:t xml:space="preserve">	</w:t>
      </w:r>
      <w:r>
        <w:t xml:space="preserve">Alukal VG, Manos A. Lean kaizen: A simplified approach to process improvement [Internet]. Milwaukee, WI: ASQ Quality Press; 2006. Available from:</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 Health Care Analysis [Internet]. 2025; Available from:</w:t>
      </w:r>
      <w:r>
        <w:t xml:space="preserve"> </w:t>
      </w:r>
      <w:hyperlink r:id="rId164">
        <w:r>
          <w:rPr>
            <w:rStyle w:val="Hyperlink"/>
          </w:rPr>
          <w:t xml:space="preserve">https://link.springer.com/article/10.1007/s10728-025-00537-y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 Journal of the American Medical Informatics Association [Internet]. 2024;31(11):2730. Available from:</w:t>
      </w:r>
      <w:r>
        <w:t xml:space="preserve"> </w:t>
      </w:r>
      <w:hyperlink r:id="rId166">
        <w:r>
          <w:rPr>
            <w:rStyle w:val="Hyperlink"/>
          </w:rPr>
          <w:t xml:space="preserve">https://academic.oup.com/jamia/article-abstract/31/11/2730/7776823</w:t>
        </w:r>
      </w:hyperlink>
    </w:p>
    <w:bookmarkEnd w:id="167"/>
    <w:bookmarkStart w:id="169" w:name="ref-loshin2010"/>
    <w:p>
      <w:pPr>
        <w:pStyle w:val="Bibliography"/>
      </w:pPr>
      <w:r>
        <w:t xml:space="preserve">65.</w:t>
      </w:r>
      <w:r>
        <w:t xml:space="preserve"> </w:t>
      </w:r>
      <w:r>
        <w:t xml:space="preserve">	</w:t>
      </w:r>
      <w:r>
        <w:t xml:space="preserve">Loshin D.</w:t>
      </w:r>
      <w:r>
        <w:t xml:space="preserve"> </w:t>
      </w:r>
      <w:r>
        <w:t xml:space="preserve">Master Data Management</w:t>
      </w:r>
      <w:r>
        <w:t xml:space="preserve"> </w:t>
      </w:r>
      <w:r>
        <w:t xml:space="preserve">[Internet]. Morgan Kaufmann; 2010. Available from:</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 International Journal of Emerging Trends in Computer Science and Information Technology [Internet]. 2025; Available from:</w:t>
      </w:r>
      <w:r>
        <w:t xml:space="preserve"> </w:t>
      </w:r>
      <w:hyperlink r:id="rId170">
        <w:r>
          <w:rPr>
            <w:rStyle w:val="Hyperlink"/>
          </w:rPr>
          <w:t xml:space="preserve">https://www.ijetcsit.org/index.php/ijetcsit/article/view/522</w:t>
        </w:r>
      </w:hyperlink>
    </w:p>
    <w:bookmarkEnd w:id="171"/>
    <w:bookmarkStart w:id="173" w:name="ref-ipeirotis2025"/>
    <w:p>
      <w:pPr>
        <w:pStyle w:val="Bibliography"/>
      </w:pPr>
      <w:r>
        <w:t xml:space="preserve">67.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2">
        <w:r>
          <w:rPr>
            <w:rStyle w:val="Hyperlink"/>
          </w:rPr>
          <w:t xml:space="preserve">https://arxiv.org/abs/2511.14718</w:t>
        </w:r>
      </w:hyperlink>
    </w:p>
    <w:bookmarkEnd w:id="173"/>
    <w:bookmarkStart w:id="175" w:name="ref-ibm2022"/>
    <w:p>
      <w:pPr>
        <w:pStyle w:val="Bibliography"/>
      </w:pPr>
      <w:r>
        <w:t xml:space="preserve">68.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strickland2019"/>
    <w:p>
      <w:pPr>
        <w:pStyle w:val="Bibliography"/>
      </w:pPr>
      <w:r>
        <w:t xml:space="preserve">69.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176">
        <w:r>
          <w:rPr>
            <w:rStyle w:val="Hyperlink"/>
          </w:rPr>
          <w:t xml:space="preserve">https://ieeexplore.ieee.org/abstract/document/8678513/</w:t>
        </w:r>
      </w:hyperlink>
    </w:p>
    <w:bookmarkEnd w:id="177"/>
    <w:bookmarkStart w:id="179" w:name="ref-lavito2021"/>
    <w:p>
      <w:pPr>
        <w:pStyle w:val="Bibliography"/>
      </w:pPr>
      <w:r>
        <w:t xml:space="preserve">70.</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8">
        <w:r>
          <w:rPr>
            <w:rStyle w:val="Hyperlink"/>
          </w:rPr>
          <w:t xml:space="preserve">https://www.cnbc.com/2021/01/04/haven-the-amazon-berkshire-jpmorgan-venture-to-disrupt-healthcare-is-disbanding-after-3-years.html</w:t>
        </w:r>
      </w:hyperlink>
    </w:p>
    <w:bookmarkEnd w:id="179"/>
    <w:bookmarkStart w:id="181" w:name="ref-acchiardo2021"/>
    <w:p>
      <w:pPr>
        <w:pStyle w:val="Bibliography"/>
      </w:pPr>
      <w:r>
        <w:t xml:space="preserve">71.</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180">
        <w:r>
          <w:rPr>
            <w:rStyle w:val="Hyperlink"/>
          </w:rPr>
          <w:t xml:space="preserve">https://www.academicradiology.org/article/S1076-6332(21)00140-9/abstract</w:t>
        </w:r>
      </w:hyperlink>
    </w:p>
    <w:bookmarkEnd w:id="181"/>
    <w:bookmarkStart w:id="183" w:name="ref-yang2020"/>
    <w:p>
      <w:pPr>
        <w:pStyle w:val="Bibliography"/>
      </w:pPr>
      <w:r>
        <w:t xml:space="preserve">72.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182">
        <w:r>
          <w:rPr>
            <w:rStyle w:val="Hyperlink"/>
          </w:rPr>
          <w:t xml:space="preserve">https://oulurepo.oulu.fi/bitstream/handle/10024/27921/nbnfi-fe2020050424858.pdf</w:t>
        </w:r>
      </w:hyperlink>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36" Target="https://academic.oup.com/jamia/article-abstract/26/4/294/5308980" TargetMode="External" /><Relationship Type="http://schemas.openxmlformats.org/officeDocument/2006/relationships/hyperlink" Id="rId166" Target="https://academic.oup.com/jamia/article-abstract/31/11/2730/7776823" TargetMode="External"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52" Target="https://academic.oup.com/jpubhealth"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58" Target="https://arxiv.org/abs/1908.01839" TargetMode="External" /><Relationship Type="http://schemas.openxmlformats.org/officeDocument/2006/relationships/hyperlink" Id="rId92" Target="https://arxiv.org/abs/2301.07695" TargetMode="External" /><Relationship Type="http://schemas.openxmlformats.org/officeDocument/2006/relationships/hyperlink" Id="rId94" Target="https://arxiv.org/abs/2403.09226" TargetMode="External" /><Relationship Type="http://schemas.openxmlformats.org/officeDocument/2006/relationships/hyperlink" Id="rId172"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68" Target="https://dl.acm.org/doi/10.1145/1017114.1017118" TargetMode="External" /><Relationship Type="http://schemas.openxmlformats.org/officeDocument/2006/relationships/hyperlink" Id="rId142" Target="https://dl.acm.org/doi/abs/10.1145/320251.320253" TargetMode="External" /><Relationship Type="http://schemas.openxmlformats.org/officeDocument/2006/relationships/hyperlink" Id="rId100" Target="https://doi.org/10.1016/j.ijinfomgt.2003.12.012" TargetMode="External" /><Relationship Type="http://schemas.openxmlformats.org/officeDocument/2006/relationships/hyperlink" Id="rId84" Target="https://doi.org/10.1108/JKM-08-2016-0338" TargetMode="External" /><Relationship Type="http://schemas.openxmlformats.org/officeDocument/2006/relationships/hyperlink" Id="rId106" Target="https://doi.org/10.63282/3050-9262.IJAIDSML-V6I4P130"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64" Target="https://human-resources-health.biomedcentral.com/articles/10.1186/1478-4491-11-35" TargetMode="External" /><Relationship Type="http://schemas.openxmlformats.org/officeDocument/2006/relationships/hyperlink" Id="rId152" Target="https://ieeexplore.ieee.org/abstract/document/11402102/" TargetMode="External" /><Relationship Type="http://schemas.openxmlformats.org/officeDocument/2006/relationships/hyperlink" Id="rId176" Target="https://ieeexplore.ieee.org/abstract/document/8678513/" TargetMode="External" /><Relationship Type="http://schemas.openxmlformats.org/officeDocument/2006/relationships/hyperlink" Id="rId114" Target="https://jamanetwork.com/journals/jamanetworkopen/fullarticle/2777777" TargetMode="External" /><Relationship Type="http://schemas.openxmlformats.org/officeDocument/2006/relationships/hyperlink" Id="rId120" Target="https://journalofbigdata.springeropen.com/articles/10.1186/s40537-019-0170-y" TargetMode="External" /><Relationship Type="http://schemas.openxmlformats.org/officeDocument/2006/relationships/hyperlink" Id="rId156" Target="https://journals.lww.com/jhmonline/fulltext/2025/05000/organizational_resilience_in_healthcare__a_scoping.4.aspx" TargetMode="External" /><Relationship Type="http://schemas.openxmlformats.org/officeDocument/2006/relationships/hyperlink" Id="rId164" Target="https://link.springer.com/article/10.1007/s10728-025-00537-y" TargetMode="External" /><Relationship Type="http://schemas.openxmlformats.org/officeDocument/2006/relationships/hyperlink" Id="rId154" Target="https://link.springer.com/article/10.1186/s12913-023-09242-9" TargetMode="External" /><Relationship Type="http://schemas.openxmlformats.org/officeDocument/2006/relationships/hyperlink" Id="rId124" Target="https://link.springer.com/article/10.1186/s12913-025-12966-5" TargetMode="External" /><Relationship Type="http://schemas.openxmlformats.org/officeDocument/2006/relationships/hyperlink" Id="rId98" Target="https://link.springer.com/content/pdf/10.1007/s10462-022-10246-w.pdf"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88" Target="https://onlinelibrary.wiley.com/doi/abs/10.1111/j.1540-5885.2010.00798.x" TargetMode="External" /><Relationship Type="http://schemas.openxmlformats.org/officeDocument/2006/relationships/hyperlink" Id="rId182"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6" Target="https://papers.ssrn.com/sol3/papers.cfm?abstract_id=5268176" TargetMode="External" /><Relationship Type="http://schemas.openxmlformats.org/officeDocument/2006/relationships/hyperlink" Id="rId134" Target="https://pmc.ncbi.nlm.nih.gov/articles/PMC10785918/" TargetMode="External" /><Relationship Type="http://schemas.openxmlformats.org/officeDocument/2006/relationships/hyperlink" Id="rId80" Target="https://pmc.ncbi.nlm.nih.gov/articles/PMC10802134/" TargetMode="External" /><Relationship Type="http://schemas.openxmlformats.org/officeDocument/2006/relationships/hyperlink" Id="rId82" Target="https://pmc.ncbi.nlm.nih.gov/articles/PMC11919231/" TargetMode="External" /><Relationship Type="http://schemas.openxmlformats.org/officeDocument/2006/relationships/hyperlink" Id="rId118" Target="https://publishing.emanresearch.org/Journal/FullText/6104" TargetMode="External" /><Relationship Type="http://schemas.openxmlformats.org/officeDocument/2006/relationships/hyperlink" Id="rId66" Target="https://pubmed.ncbi.nlm.nih.gov/20054502/" TargetMode="External" /><Relationship Type="http://schemas.openxmlformats.org/officeDocument/2006/relationships/hyperlink" Id="rId140" Target="https://resources.anthropic.com/code-modernization-playbook" TargetMode="External" /><Relationship Type="http://schemas.openxmlformats.org/officeDocument/2006/relationships/hyperlink" Id="rId126" Target="https://search.proquest.com/openview/9a3a9ef301c01ff0129d07f685b8643f/1" TargetMode="External" /><Relationship Type="http://schemas.openxmlformats.org/officeDocument/2006/relationships/hyperlink" Id="rId148"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2" Target="https://www.academia.edu/download/41283190/Design_and_evaluation_of_systems_to_supp20160117-25708-98zc50.pdf" TargetMode="External" /><Relationship Type="http://schemas.openxmlformats.org/officeDocument/2006/relationships/hyperlink" Id="rId180" Target="https://www.academicradiology.org/article/S1076-6332(21)00140-9/abstract"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4" Target="https://www.allmultidisciplinaryjournal.com/uploads/archives/20250306182550_MGE-2025-2-018.1.pdf" TargetMode="External" /><Relationship Type="http://schemas.openxmlformats.org/officeDocument/2006/relationships/hyperlink" Id="rId178"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74" Target="https://www.emerald.com/insight/content/doi/10.1108/13673270610650067/full/html" TargetMode="External" /><Relationship Type="http://schemas.openxmlformats.org/officeDocument/2006/relationships/hyperlink" Id="rId86" Target="https://www.emerald.com/insight/content/doi/10.1108/JKM-03-2024-0262/full/html" TargetMode="External" /><Relationship Type="http://schemas.openxmlformats.org/officeDocument/2006/relationships/hyperlink" Id="rId130" Target="https://www.frontiersin.org/articles/10.3389/fdata.2024.1371680" TargetMode="External" /><Relationship Type="http://schemas.openxmlformats.org/officeDocument/2006/relationships/hyperlink" Id="rId70" Target="https://www.frontiersin.org/articles/10.3389/fpsyg.2019.02730" TargetMode="External" /><Relationship Type="http://schemas.openxmlformats.org/officeDocument/2006/relationships/hyperlink" Id="rId108" Target="https://www.healthcareitnews.com/news/asia/himss24-apac-adoption-model-analytics-maturity-gets-facelift" TargetMode="External" /><Relationship Type="http://schemas.openxmlformats.org/officeDocument/2006/relationships/hyperlink" Id="rId110"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0" Target="https://www.ijaidr.com/papers/2023/1/1299.pdf" TargetMode="External" /><Relationship Type="http://schemas.openxmlformats.org/officeDocument/2006/relationships/hyperlink" Id="rId138"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116" Target="https://www.ingentaconnect.com/content/hsp/mih/2024/00000008/00000004/art00006" TargetMode="External" /><Relationship Type="http://schemas.openxmlformats.org/officeDocument/2006/relationships/hyperlink" Id="rId112" Target="https://www.jmir.org/2024/1/e56316" TargetMode="External" /><Relationship Type="http://schemas.openxmlformats.org/officeDocument/2006/relationships/hyperlink" Id="rId128" Target="https://www.mdpi.com/2504-2289/9/10/256"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4" Target="https://www.quantbeckman.com/api/v1/file/5b240742-bf0d-4f8c-a0f9-cb29fab42611.pdf" TargetMode="External" /><Relationship Type="http://schemas.openxmlformats.org/officeDocument/2006/relationships/hyperlink" Id="rId62" Target="https://www.redjournal.org/article/S0360-3016(16)00260-1/fulltext" TargetMode="External" /><Relationship Type="http://schemas.openxmlformats.org/officeDocument/2006/relationships/hyperlink" Id="rId56" Target="https://www.sciencedirect.com/science/article/abs/pii/S0040162516000500" TargetMode="External" /><Relationship Type="http://schemas.openxmlformats.org/officeDocument/2006/relationships/hyperlink" Id="rId158" Target="https://www.sciencedirect.com/science/article/pii/S0003687026000463" TargetMode="External" /><Relationship Type="http://schemas.openxmlformats.org/officeDocument/2006/relationships/hyperlink" Id="rId132" Target="https://www.sciencedirect.com/science/article/pii/S0031320325004601" TargetMode="External" /><Relationship Type="http://schemas.openxmlformats.org/officeDocument/2006/relationships/hyperlink" Id="rId122" Target="https://www.tandfonline.com/doi/full/10.1080/20479700.2018.1531606" TargetMode="External" /><Relationship Type="http://schemas.openxmlformats.org/officeDocument/2006/relationships/hyperlink" Id="rId96"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36" Target="https://academic.oup.com/jamia/article-abstract/26/4/294/5308980" TargetMode="External" /><Relationship Type="http://schemas.openxmlformats.org/officeDocument/2006/relationships/hyperlink" Id="rId166" Target="https://academic.oup.com/jamia/article-abstract/31/11/2730/7776823" TargetMode="External"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52" Target="https://academic.oup.com/jpubhealth"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58" Target="https://arxiv.org/abs/1908.01839" TargetMode="External" /><Relationship Type="http://schemas.openxmlformats.org/officeDocument/2006/relationships/hyperlink" Id="rId92" Target="https://arxiv.org/abs/2301.07695" TargetMode="External" /><Relationship Type="http://schemas.openxmlformats.org/officeDocument/2006/relationships/hyperlink" Id="rId94" Target="https://arxiv.org/abs/2403.09226" TargetMode="External" /><Relationship Type="http://schemas.openxmlformats.org/officeDocument/2006/relationships/hyperlink" Id="rId172"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68" Target="https://dl.acm.org/doi/10.1145/1017114.1017118" TargetMode="External" /><Relationship Type="http://schemas.openxmlformats.org/officeDocument/2006/relationships/hyperlink" Id="rId142" Target="https://dl.acm.org/doi/abs/10.1145/320251.320253" TargetMode="External" /><Relationship Type="http://schemas.openxmlformats.org/officeDocument/2006/relationships/hyperlink" Id="rId100" Target="https://doi.org/10.1016/j.ijinfomgt.2003.12.012" TargetMode="External" /><Relationship Type="http://schemas.openxmlformats.org/officeDocument/2006/relationships/hyperlink" Id="rId84" Target="https://doi.org/10.1108/JKM-08-2016-0338" TargetMode="External" /><Relationship Type="http://schemas.openxmlformats.org/officeDocument/2006/relationships/hyperlink" Id="rId106" Target="https://doi.org/10.63282/3050-9262.IJAIDSML-V6I4P130"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64" Target="https://human-resources-health.biomedcentral.com/articles/10.1186/1478-4491-11-35" TargetMode="External" /><Relationship Type="http://schemas.openxmlformats.org/officeDocument/2006/relationships/hyperlink" Id="rId152" Target="https://ieeexplore.ieee.org/abstract/document/11402102/" TargetMode="External" /><Relationship Type="http://schemas.openxmlformats.org/officeDocument/2006/relationships/hyperlink" Id="rId176" Target="https://ieeexplore.ieee.org/abstract/document/8678513/" TargetMode="External" /><Relationship Type="http://schemas.openxmlformats.org/officeDocument/2006/relationships/hyperlink" Id="rId114" Target="https://jamanetwork.com/journals/jamanetworkopen/fullarticle/2777777" TargetMode="External" /><Relationship Type="http://schemas.openxmlformats.org/officeDocument/2006/relationships/hyperlink" Id="rId120" Target="https://journalofbigdata.springeropen.com/articles/10.1186/s40537-019-0170-y" TargetMode="External" /><Relationship Type="http://schemas.openxmlformats.org/officeDocument/2006/relationships/hyperlink" Id="rId156" Target="https://journals.lww.com/jhmonline/fulltext/2025/05000/organizational_resilience_in_healthcare__a_scoping.4.aspx" TargetMode="External" /><Relationship Type="http://schemas.openxmlformats.org/officeDocument/2006/relationships/hyperlink" Id="rId164" Target="https://link.springer.com/article/10.1007/s10728-025-00537-y" TargetMode="External" /><Relationship Type="http://schemas.openxmlformats.org/officeDocument/2006/relationships/hyperlink" Id="rId154" Target="https://link.springer.com/article/10.1186/s12913-023-09242-9" TargetMode="External" /><Relationship Type="http://schemas.openxmlformats.org/officeDocument/2006/relationships/hyperlink" Id="rId124" Target="https://link.springer.com/article/10.1186/s12913-025-12966-5" TargetMode="External" /><Relationship Type="http://schemas.openxmlformats.org/officeDocument/2006/relationships/hyperlink" Id="rId98" Target="https://link.springer.com/content/pdf/10.1007/s10462-022-10246-w.pdf"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88" Target="https://onlinelibrary.wiley.com/doi/abs/10.1111/j.1540-5885.2010.00798.x" TargetMode="External" /><Relationship Type="http://schemas.openxmlformats.org/officeDocument/2006/relationships/hyperlink" Id="rId182"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6" Target="https://papers.ssrn.com/sol3/papers.cfm?abstract_id=5268176" TargetMode="External" /><Relationship Type="http://schemas.openxmlformats.org/officeDocument/2006/relationships/hyperlink" Id="rId134" Target="https://pmc.ncbi.nlm.nih.gov/articles/PMC10785918/" TargetMode="External" /><Relationship Type="http://schemas.openxmlformats.org/officeDocument/2006/relationships/hyperlink" Id="rId80" Target="https://pmc.ncbi.nlm.nih.gov/articles/PMC10802134/" TargetMode="External" /><Relationship Type="http://schemas.openxmlformats.org/officeDocument/2006/relationships/hyperlink" Id="rId82" Target="https://pmc.ncbi.nlm.nih.gov/articles/PMC11919231/" TargetMode="External" /><Relationship Type="http://schemas.openxmlformats.org/officeDocument/2006/relationships/hyperlink" Id="rId118" Target="https://publishing.emanresearch.org/Journal/FullText/6104" TargetMode="External" /><Relationship Type="http://schemas.openxmlformats.org/officeDocument/2006/relationships/hyperlink" Id="rId66" Target="https://pubmed.ncbi.nlm.nih.gov/20054502/" TargetMode="External" /><Relationship Type="http://schemas.openxmlformats.org/officeDocument/2006/relationships/hyperlink" Id="rId140" Target="https://resources.anthropic.com/code-modernization-playbook" TargetMode="External" /><Relationship Type="http://schemas.openxmlformats.org/officeDocument/2006/relationships/hyperlink" Id="rId126" Target="https://search.proquest.com/openview/9a3a9ef301c01ff0129d07f685b8643f/1" TargetMode="External" /><Relationship Type="http://schemas.openxmlformats.org/officeDocument/2006/relationships/hyperlink" Id="rId148"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2" Target="https://www.academia.edu/download/41283190/Design_and_evaluation_of_systems_to_supp20160117-25708-98zc50.pdf" TargetMode="External" /><Relationship Type="http://schemas.openxmlformats.org/officeDocument/2006/relationships/hyperlink" Id="rId180" Target="https://www.academicradiology.org/article/S1076-6332(21)00140-9/abstract"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4" Target="https://www.allmultidisciplinaryjournal.com/uploads/archives/20250306182550_MGE-2025-2-018.1.pdf" TargetMode="External" /><Relationship Type="http://schemas.openxmlformats.org/officeDocument/2006/relationships/hyperlink" Id="rId178"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74" Target="https://www.emerald.com/insight/content/doi/10.1108/13673270610650067/full/html" TargetMode="External" /><Relationship Type="http://schemas.openxmlformats.org/officeDocument/2006/relationships/hyperlink" Id="rId86" Target="https://www.emerald.com/insight/content/doi/10.1108/JKM-03-2024-0262/full/html" TargetMode="External" /><Relationship Type="http://schemas.openxmlformats.org/officeDocument/2006/relationships/hyperlink" Id="rId130" Target="https://www.frontiersin.org/articles/10.3389/fdata.2024.1371680" TargetMode="External" /><Relationship Type="http://schemas.openxmlformats.org/officeDocument/2006/relationships/hyperlink" Id="rId70" Target="https://www.frontiersin.org/articles/10.3389/fpsyg.2019.02730" TargetMode="External" /><Relationship Type="http://schemas.openxmlformats.org/officeDocument/2006/relationships/hyperlink" Id="rId108" Target="https://www.healthcareitnews.com/news/asia/himss24-apac-adoption-model-analytics-maturity-gets-facelift" TargetMode="External" /><Relationship Type="http://schemas.openxmlformats.org/officeDocument/2006/relationships/hyperlink" Id="rId110"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0" Target="https://www.ijaidr.com/papers/2023/1/1299.pdf" TargetMode="External" /><Relationship Type="http://schemas.openxmlformats.org/officeDocument/2006/relationships/hyperlink" Id="rId138"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116" Target="https://www.ingentaconnect.com/content/hsp/mih/2024/00000008/00000004/art00006" TargetMode="External" /><Relationship Type="http://schemas.openxmlformats.org/officeDocument/2006/relationships/hyperlink" Id="rId112" Target="https://www.jmir.org/2024/1/e56316" TargetMode="External" /><Relationship Type="http://schemas.openxmlformats.org/officeDocument/2006/relationships/hyperlink" Id="rId128" Target="https://www.mdpi.com/2504-2289/9/10/256"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4" Target="https://www.quantbeckman.com/api/v1/file/5b240742-bf0d-4f8c-a0f9-cb29fab42611.pdf" TargetMode="External" /><Relationship Type="http://schemas.openxmlformats.org/officeDocument/2006/relationships/hyperlink" Id="rId62" Target="https://www.redjournal.org/article/S0360-3016(16)00260-1/fulltext" TargetMode="External" /><Relationship Type="http://schemas.openxmlformats.org/officeDocument/2006/relationships/hyperlink" Id="rId56" Target="https://www.sciencedirect.com/science/article/abs/pii/S0040162516000500" TargetMode="External" /><Relationship Type="http://schemas.openxmlformats.org/officeDocument/2006/relationships/hyperlink" Id="rId158" Target="https://www.sciencedirect.com/science/article/pii/S0003687026000463" TargetMode="External" /><Relationship Type="http://schemas.openxmlformats.org/officeDocument/2006/relationships/hyperlink" Id="rId132" Target="https://www.sciencedirect.com/science/article/pii/S0031320325004601" TargetMode="External" /><Relationship Type="http://schemas.openxmlformats.org/officeDocument/2006/relationships/hyperlink" Id="rId122" Target="https://www.tandfonline.com/doi/full/10.1080/20479700.2018.1531606" TargetMode="External" /><Relationship Type="http://schemas.openxmlformats.org/officeDocument/2006/relationships/hyperlink" Id="rId96"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2026-03-28T21:25:14Z</dcterms:created>
  <dcterms:modified xsi:type="dcterms:W3CDTF">2026-03-28T21:25:14Z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Semantic Governance (HiL-SG).HiL-SG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Analytics Resilience Index (ARI) proposes a measurement instrument that extends static maturity assessments with a complementary resilience dimension, quantifying an organization’s ability to sustain analytical capability despite staff churn.A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ies>
</file>