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multimedia-appendix-2"/>
    <w:p>
      <w:pPr>
        <w:pStyle w:val="Heading1"/>
      </w:pPr>
      <w:r>
        <w:t xml:space="preserve">Multimedia Appendix 2</w:t>
      </w:r>
    </w:p>
    <w:bookmarkStart w:id="12" w:name="healthcare-nl2sql-query-examples"/>
    <w:p>
      <w:pPr>
        <w:pStyle w:val="Heading2"/>
      </w:pPr>
      <w:r>
        <w:t xml:space="preserve">Healthcare NL2SQL Query Examples</w:t>
      </w:r>
    </w:p>
    <w:bookmarkStart w:id="9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t xml:space="preserve">Rationale: Aligned with NCQA HEDIS measures for Comprehensive Diabetes Care (CDC), monitoring HbA1c testing compliance in older adult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9"/>
    <w:bookmarkStart w:id="10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t xml:space="preserve">Rationale: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0"/>
    <w:bookmarkStart w:id="11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t xml:space="preserve">Rationale: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2026-01-22T03:54:42Z</dcterms:created>
  <dcterms:modified xsi:type="dcterms:W3CDTF">2026-01-22T03:54:42Z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/Users/stharrold/Documents/GitHub/yuimedi-paper-20250901_feature_20260122T033713Z_issue-490-improve-short-paper/references.bib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/Users/stharrold/Documents/GitHub/yuimedi-paper-20250901_feature_20260122T033713Z_issue-490-improve-short-paper/citation-style.csl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