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68 academic and 11 industry sources (79 total).</w:t>
      </w:r>
    </w:p>
    <w:p>
      <w:pPr>
        <w:pStyle w:val="BodyText"/>
      </w:pPr>
      <w:r>
        <w:t xml:space="preserve">Figure 2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2025-12-22T15:59:38Z</dcterms:created>
  <dcterms:modified xsi:type="dcterms:W3CDTF">2025-12-22T15:59:38Z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