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multimedia-appendix-1"/>
    <w:p>
      <w:pPr>
        <w:pStyle w:val="Heading1"/>
      </w:pPr>
      <w:r>
        <w:t xml:space="preserve">Multimedia Appendix 1</w:t>
      </w:r>
    </w:p>
    <w:bookmarkStart w:id="9" w:name="X9f53f22171f41c75ba70869e293df97768fb2d4"/>
    <w:p>
      <w:pPr>
        <w:pStyle w:val="Heading2"/>
      </w:pPr>
      <w:r>
        <w:t xml:space="preserve">HIMSS Analytics Maturity Assessment Model (AMAM) Stages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Capabilities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data capture without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data entry, paper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data validation and error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quality controls, automated 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Utilization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reporting and basic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reports, dashboard creation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Decision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Rule-based clinical and operational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alerts, automated protocols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Health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Population-level analysis and intervention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identification, risk stratification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modeling and predictive 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models, trend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 and AI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AI, pattern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Medicine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treatment and genomic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care, genomic analytics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2026-01-16T12:30:02Z</dcterms:created>
  <dcterms:modified xsi:type="dcterms:W3CDTF">2026-01-16T12:30:02Z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