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January 2026</w:t>
      </w:r>
    </w:p>
    <w:p>
      <w:pPr>
        <w:pStyle w:val="AbstractTitle"/>
      </w:pPr>
      <w:r>
        <w:t xml:space="preserve">Abstract</w:t>
      </w:r>
    </w:p>
    <w:p>
      <w:pPr>
        <w:pStyle w:val="Abstract"/>
      </w:pPr>
      <w:r>
        <w:rPr>
          <w:b/>
          <w:bCs/>
        </w:rPr>
        <w:t xml:space="preserve">Background:</w:t>
      </w:r>
      <w:r>
        <w:t xml:space="preserve"> </w:t>
      </w:r>
      <w:r>
        <w:t xml:space="preserve">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w:t>
      </w:r>
    </w:p>
    <w:p>
      <w:pPr>
        <w:pStyle w:val="Abstract"/>
      </w:pPr>
      <w:r>
        <w:rPr>
          <w:b/>
          <w:bCs/>
        </w:rPr>
        <w:t xml:space="preserve">Objective:</w:t>
      </w:r>
      <w:r>
        <w:t xml:space="preserve"> </w:t>
      </w:r>
      <w:r>
        <w:t xml:space="preserve">This research develops a three-pillar analytical framework connecting analytics maturity, workforce agility, and technical enablement. The framework reveals how these capabilities interconnect and compound each other.</w:t>
      </w:r>
    </w:p>
    <w:p>
      <w:pPr>
        <w:pStyle w:val="Abstract"/>
      </w:pPr>
      <w:r>
        <w:rPr>
          <w:b/>
          <w:bCs/>
        </w:rPr>
        <w:t xml:space="preserve">Methods:</w:t>
      </w:r>
      <w:r>
        <w:t xml:space="preserve"> </w:t>
      </w:r>
      <w:r>
        <w:t xml:space="preserve">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w:t>
      </w:r>
    </w:p>
    <w:p>
      <w:pPr>
        <w:pStyle w:val="Abstract"/>
      </w:pPr>
      <w:r>
        <w:rPr>
          <w:b/>
          <w:bCs/>
        </w:rPr>
        <w:t xml:space="preserve">Results:</w:t>
      </w:r>
      <w:r>
        <w:t xml:space="preserve"> </w:t>
      </w:r>
      <w:r>
        <w:t xml:space="preserve">Healthcare-specific text-to-SQL benchmarks show significant progress, though current models are</w:t>
      </w:r>
      <w:r>
        <w:t xml:space="preserve"> </w:t>
      </w:r>
      <w:r>
        <w:t xml:space="preserve">“not yet sufficiently accurate for unsupervised use”</w:t>
      </w:r>
      <w:r>
        <w:t xml:space="preserve"> </w:t>
      </w:r>
      <w:r>
        <w:t xml:space="preserve">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w:t>
      </w:r>
    </w:p>
    <w:p>
      <w:pPr>
        <w:pStyle w:val="Abstract"/>
      </w:pPr>
      <w:r>
        <w:rPr>
          <w:b/>
          <w:bCs/>
        </w:rPr>
        <w:t xml:space="preserve">Conclusions:</w:t>
      </w:r>
      <w:r>
        <w:t xml:space="preserve"> </w:t>
      </w:r>
      <w:r>
        <w:t xml:space="preserve">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introduction"/>
    <w:p>
      <w:pPr>
        <w:pStyle w:val="Heading1"/>
      </w:pPr>
      <w:r>
        <w:rPr>
          <w:rStyle w:val="SectionNumber"/>
        </w:rPr>
        <w:t xml:space="preserve">1</w:t>
      </w:r>
      <w:r>
        <w:tab/>
      </w:r>
      <w:r>
        <w:t xml:space="preserve">Introduction</w:t>
      </w:r>
    </w:p>
    <w:bookmarkStart w:id="9"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9"/>
    <w:bookmarkStart w:id="10"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10"/>
    <w:bookmarkStart w:id="11"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“Information and Digital Health”</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11"/>
    <w:bookmarkStart w:id="12"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“technical skills gap”</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“magic bullet”</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12"/>
    <w:bookmarkStart w:id="16"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13"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13"/>
    <w:bookmarkStart w:id="14"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14"/>
    <w:bookmarkStart w:id="15"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15"/>
    <w:bookmarkEnd w:id="16"/>
    <w:bookmarkStart w:id="24"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067300" cy="4936394"/>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 title="" id="18" name="Picture"/>
            <a:graphic>
              <a:graphicData uri="http://schemas.openxmlformats.org/drawingml/2006/picture">
                <pic:pic>
                  <pic:nvPicPr>
                    <pic:cNvPr descr="figures/architecture.mmd.png" id="19" name="Picture"/>
                    <pic:cNvPicPr>
                      <a:picLocks noChangeArrowheads="1" noChangeAspect="1"/>
                    </pic:cNvPicPr>
                  </pic:nvPicPr>
                  <pic:blipFill>
                    <a:blip r:embed="rId17"/>
                    <a:stretch>
                      <a:fillRect/>
                    </a:stretch>
                  </pic:blipFill>
                  <pic:spPr bwMode="auto">
                    <a:xfrm>
                      <a:off x="0" y="0"/>
                      <a:ext cx="5067300" cy="4936394"/>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‘Query &amp; Refine’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w:t>
      </w:r>
    </w:p>
    <w:bookmarkStart w:id="23"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“What was our 30-day readmission rate for heart failure patients last quarter?”</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“Human-on-the-Loop”</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“not yet sufficiently accurate for unsupervised use”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NL-SQL-Rationale triple is stored in organizational memory as a durable knowledge artifact. The Rationale Metadata documents the query’s business logic (e.g.,</w:t>
      </w:r>
      <w:r>
        <w:t xml:space="preserve"> </w:t>
      </w:r>
      <w:r>
        <w:t xml:space="preserve">“Excluding Hospice per 2025 CMS rules”</w:t>
      </w:r>
      <w:r>
        <w:t xml:space="preserve">) and is a mandatory component of the triple.</w:t>
      </w:r>
    </w:p>
    <w:p>
      <w:pPr>
        <w:numPr>
          <w:ilvl w:val="0"/>
          <w:numId w:val="1006"/>
        </w:numPr>
      </w:pPr>
      <w:r>
        <w:rPr>
          <w:i/>
          <w:iCs/>
        </w:rPr>
        <w:t xml:space="preserve">Retrieval</w:t>
      </w:r>
      <w:r>
        <w:t xml:space="preserve">: When future users ask similar questions, the system retrieves relevant validated triples,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2667000" cy="5498969"/>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 title="" id="21" name="Picture"/>
            <a:graphic>
              <a:graphicData uri="http://schemas.openxmlformats.org/drawingml/2006/picture">
                <pic:pic>
                  <pic:nvPicPr>
                    <pic:cNvPr descr="figures/knowledge-cycle.mmd.png" id="22" name="Picture"/>
                    <pic:cNvPicPr>
                      <a:picLocks noChangeArrowheads="1" noChangeAspect="1"/>
                    </pic:cNvPicPr>
                  </pic:nvPicPr>
                  <pic:blipFill>
                    <a:blip r:embed="rId20"/>
                    <a:stretch>
                      <a:fillRect/>
                    </a:stretch>
                  </pic:blipFill>
                  <pic:spPr bwMode="auto">
                    <a:xfrm>
                      <a:off x="0" y="0"/>
                      <a:ext cx="2667000" cy="5498969"/>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triples rather than individual memory. Low-maturity organizations can accelerate advancement by accumulating validated queries, and technical barriers are reduced because new staff access proven query patterns rather than recreating analytical logic.</w:t>
      </w:r>
    </w:p>
    <w:bookmarkEnd w:id="23"/>
    <w:bookmarkEnd w:id="24"/>
    <w:bookmarkStart w:id="25"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25"/>
    <w:bookmarkEnd w:id="26"/>
    <w:bookmarkStart w:id="36" w:name="methodology"/>
    <w:p>
      <w:pPr>
        <w:pStyle w:val="Heading1"/>
      </w:pPr>
      <w:r>
        <w:rPr>
          <w:rStyle w:val="SectionNumber"/>
        </w:rPr>
        <w:t xml:space="preserve">2</w:t>
      </w:r>
      <w:r>
        <w:tab/>
      </w:r>
      <w:r>
        <w:t xml:space="preserve">Methodology</w:t>
      </w:r>
    </w:p>
    <w:bookmarkStart w:id="27"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27"/>
    <w:bookmarkStart w:id="31"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 Analytics Maturity (</w:t>
      </w:r>
      <w:r>
        <w:t xml:space="preserve">“healthcare analytics maturity”</w:t>
      </w:r>
      <w:r>
        <w:t xml:space="preserve">,</w:t>
      </w:r>
      <w:r>
        <w:t xml:space="preserve"> </w:t>
      </w:r>
      <w:r>
        <w:t xml:space="preserve">“HIMSS AMAM”</w:t>
      </w:r>
      <w:r>
        <w:t xml:space="preserve">,</w:t>
      </w:r>
      <w:r>
        <w:t xml:space="preserve"> </w:t>
      </w:r>
      <w:r>
        <w:t xml:space="preserve">“analytics adoption”</w:t>
      </w:r>
      <w:r>
        <w:t xml:space="preserve">,</w:t>
      </w:r>
      <w:r>
        <w:t xml:space="preserve"> </w:t>
      </w:r>
      <w:r>
        <w:t xml:space="preserve">“big data analytics adoption”</w:t>
      </w:r>
      <w:r>
        <w:t xml:space="preserve">,</w:t>
      </w:r>
      <w:r>
        <w:t xml:space="preserve"> </w:t>
      </w:r>
      <w:r>
        <w:t xml:space="preserve">“resistance to change”</w:t>
      </w:r>
      <w:r>
        <w:t xml:space="preserve">,</w:t>
      </w:r>
      <w:r>
        <w:t xml:space="preserve"> </w:t>
      </w:r>
      <w:r>
        <w:t xml:space="preserve">“analytics standardization failure”</w:t>
      </w:r>
      <w:r>
        <w:t xml:space="preserve">,</w:t>
      </w:r>
      <w:r>
        <w:t xml:space="preserve"> </w:t>
      </w:r>
      <w:r>
        <w:t xml:space="preserve">“low-code ROI”</w:t>
      </w:r>
      <w:r>
        <w:t xml:space="preserve">); Workforce Agility (</w:t>
      </w:r>
      <w:r>
        <w:t xml:space="preserve">“healthcare IT tenure”</w:t>
      </w:r>
      <w:r>
        <w:t xml:space="preserve">,</w:t>
      </w:r>
      <w:r>
        <w:t xml:space="preserve"> </w:t>
      </w:r>
      <w:r>
        <w:t xml:space="preserve">“IT training time”</w:t>
      </w:r>
      <w:r>
        <w:t xml:space="preserve">,</w:t>
      </w:r>
      <w:r>
        <w:t xml:space="preserve"> </w:t>
      </w:r>
      <w:r>
        <w:t xml:space="preserve">“turnover cost”</w:t>
      </w:r>
      <w:r>
        <w:t xml:space="preserve">,</w:t>
      </w:r>
      <w:r>
        <w:t xml:space="preserve"> </w:t>
      </w:r>
      <w:r>
        <w:t xml:space="preserve">“institutional memory loss”</w:t>
      </w:r>
      <w:r>
        <w:t xml:space="preserve">,</w:t>
      </w:r>
      <w:r>
        <w:t xml:space="preserve"> </w:t>
      </w:r>
      <w:r>
        <w:t xml:space="preserve">“organizational forgetting”</w:t>
      </w:r>
      <w:r>
        <w:t xml:space="preserve">,</w:t>
      </w:r>
      <w:r>
        <w:t xml:space="preserve"> </w:t>
      </w:r>
      <w:r>
        <w:t xml:space="preserve">“competence loss”</w:t>
      </w:r>
      <w:r>
        <w:t xml:space="preserve">,</w:t>
      </w:r>
      <w:r>
        <w:t xml:space="preserve"> </w:t>
      </w:r>
      <w:r>
        <w:t xml:space="preserve">“knowledge portal”</w:t>
      </w:r>
      <w:r>
        <w:t xml:space="preserve">,</w:t>
      </w:r>
      <w:r>
        <w:t xml:space="preserve"> </w:t>
      </w:r>
      <w:r>
        <w:t xml:space="preserve">“SECI model”</w:t>
      </w:r>
      <w:r>
        <w:t xml:space="preserve">); Technical Enablement (</w:t>
      </w:r>
      <w:r>
        <w:t xml:space="preserve">“NL2SQL healthcare”</w:t>
      </w:r>
      <w:r>
        <w:t xml:space="preserve">,</w:t>
      </w:r>
      <w:r>
        <w:t xml:space="preserve"> </w:t>
      </w:r>
      <w:r>
        <w:t xml:space="preserve">“text-to-SQL clinical”</w:t>
      </w:r>
      <w:r>
        <w:t xml:space="preserve">,</w:t>
      </w:r>
      <w:r>
        <w:t xml:space="preserve"> </w:t>
      </w:r>
      <w:r>
        <w:t xml:space="preserve">“MIMICSQL”</w:t>
      </w:r>
      <w:r>
        <w:t xml:space="preserve">,</w:t>
      </w:r>
      <w:r>
        <w:t xml:space="preserve"> </w:t>
      </w:r>
      <w:r>
        <w:t xml:space="preserve">“EHRSQL”</w:t>
      </w:r>
      <w:r>
        <w:t xml:space="preserve">,</w:t>
      </w:r>
      <w:r>
        <w:t xml:space="preserve"> </w:t>
      </w:r>
      <w:r>
        <w:t xml:space="preserve">“schema discovery”</w:t>
      </w:r>
      <w:r>
        <w:t xml:space="preserve">,</w:t>
      </w:r>
      <w:r>
        <w:t xml:space="preserve"> </w:t>
      </w:r>
      <w:r>
        <w:t xml:space="preserve">“semantic column matching”</w:t>
      </w:r>
      <w:r>
        <w:t xml:space="preserve">,</w:t>
      </w:r>
      <w:r>
        <w:t xml:space="preserve"> </w:t>
      </w:r>
      <w:r>
        <w:t xml:space="preserve">“vector embeddings”</w:t>
      </w:r>
      <w:r>
        <w:t xml:space="preserve">).</w:t>
      </w:r>
    </w:p>
    <w:tbl>
      <w:tblPr>
        <w:tblStyle w:val="Table"/>
        <w:tblW w:type="pct" w:w="5000"/>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left"/>
            </w:pPr>
            <w:r>
              <w:t xml:space="preserve">Crossref</w:t>
            </w:r>
          </w:p>
        </w:tc>
        <w:tc>
          <w:tcPr/>
          <w:p>
            <w:pPr>
              <w:pStyle w:val="Compact"/>
              <w:jc w:val="left"/>
            </w:pPr>
            <w:r>
              <w:t xml:space="preserve">PubMed</w:t>
            </w:r>
          </w:p>
        </w:tc>
        <w:tc>
          <w:tcPr/>
          <w:p>
            <w:pPr>
              <w:pStyle w:val="Compact"/>
              <w:jc w:val="left"/>
            </w:pPr>
            <w:r>
              <w:t xml:space="preserve">arXiv</w:t>
            </w:r>
          </w:p>
        </w:tc>
        <w:tc>
          <w:tcPr/>
          <w:p>
            <w:pPr>
              <w:pStyle w:val="Compact"/>
              <w:jc w:val="left"/>
            </w:pPr>
            <w:r>
              <w:t xml:space="preserve">Semantic Scholar</w:t>
            </w:r>
          </w:p>
        </w:tc>
        <w:tc>
          <w:tcPr/>
          <w:p>
            <w:pPr>
              <w:pStyle w:val="Compact"/>
              <w:jc w:val="left"/>
            </w:pPr>
            <w:r>
              <w:t xml:space="preserve">Total (Screened)</w:t>
            </w:r>
          </w:p>
        </w:tc>
      </w:tr>
      <w:tr>
        <w:tc>
          <w:tcPr/>
          <w:p>
            <w:pPr>
              <w:pStyle w:val="Compact"/>
              <w:jc w:val="left"/>
            </w:pPr>
            <w:r>
              <w:rPr>
                <w:i/>
                <w:iCs/>
              </w:rPr>
              <w:t xml:space="preserve">Analytics Maturity</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285 (15)</w:t>
            </w:r>
          </w:p>
        </w:tc>
      </w:tr>
      <w:tr>
        <w:tc>
          <w:tcPr/>
          <w:p>
            <w:pPr>
              <w:pStyle w:val="Compact"/>
              <w:jc w:val="left"/>
            </w:pPr>
            <w:r>
              <w:rPr>
                <w:i/>
                <w:iCs/>
              </w:rPr>
              <w:t xml:space="preserve">Workforce Agility</w:t>
            </w:r>
          </w:p>
        </w:tc>
        <w:tc>
          <w:tcPr/>
          <w:p>
            <w:pPr>
              <w:pStyle w:val="Compact"/>
              <w:jc w:val="left"/>
            </w:pPr>
            <w:r>
              <w:t xml:space="preserve">-</w:t>
            </w:r>
          </w:p>
        </w:tc>
        <w:tc>
          <w:tcPr/>
          <w:p>
            <w:pPr>
              <w:pStyle w:val="Compact"/>
              <w:jc w:val="left"/>
            </w:pPr>
            <w:r>
              <w:t xml:space="preserve">142</w:t>
            </w:r>
          </w:p>
        </w:tc>
        <w:tc>
          <w:tcPr/>
          <w:p>
            <w:pPr>
              <w:pStyle w:val="Compact"/>
              <w:jc w:val="left"/>
            </w:pPr>
            <w:r>
              <w:t xml:space="preserve">-</w:t>
            </w:r>
          </w:p>
        </w:tc>
        <w:tc>
          <w:tcPr/>
          <w:p>
            <w:pPr>
              <w:pStyle w:val="Compact"/>
              <w:jc w:val="left"/>
            </w:pPr>
            <w:r>
              <w:t xml:space="preserve">-</w:t>
            </w:r>
          </w:p>
        </w:tc>
        <w:tc>
          <w:tcPr/>
          <w:p>
            <w:pPr>
              <w:pStyle w:val="Compact"/>
              <w:jc w:val="left"/>
            </w:pPr>
            <w:r>
              <w:t xml:space="preserve">142 (12)</w:t>
            </w:r>
          </w:p>
        </w:tc>
      </w:tr>
      <w:tr>
        <w:tc>
          <w:tcPr/>
          <w:p>
            <w:pPr>
              <w:pStyle w:val="Compact"/>
              <w:jc w:val="left"/>
            </w:pPr>
            <w:r>
              <w:rPr>
                <w:i/>
                <w:iCs/>
              </w:rPr>
              <w:t xml:space="preserve">Technical Enablement</w:t>
            </w:r>
          </w:p>
        </w:tc>
        <w:tc>
          <w:tcPr/>
          <w:p>
            <w:pPr>
              <w:pStyle w:val="Compact"/>
              <w:jc w:val="left"/>
            </w:pPr>
            <w:r>
              <w:t xml:space="preserve">-</w:t>
            </w:r>
          </w:p>
        </w:tc>
        <w:tc>
          <w:tcPr/>
          <w:p>
            <w:pPr>
              <w:pStyle w:val="Compact"/>
              <w:jc w:val="left"/>
            </w:pPr>
            <w:r>
              <w:t xml:space="preserve">-</w:t>
            </w:r>
          </w:p>
        </w:tc>
        <w:tc>
          <w:tcPr/>
          <w:p>
            <w:pPr>
              <w:pStyle w:val="Compact"/>
              <w:jc w:val="left"/>
            </w:pPr>
            <w:r>
              <w:t xml:space="preserve">71</w:t>
            </w:r>
          </w:p>
        </w:tc>
        <w:tc>
          <w:tcPr/>
          <w:p>
            <w:pPr>
              <w:pStyle w:val="Compact"/>
              <w:jc w:val="left"/>
            </w:pPr>
            <w:r>
              <w:t xml:space="preserve">72</w:t>
            </w:r>
          </w:p>
        </w:tc>
        <w:tc>
          <w:tcPr/>
          <w:p>
            <w:pPr>
              <w:pStyle w:val="Compact"/>
              <w:jc w:val="left"/>
            </w:pPr>
            <w:r>
              <w:t xml:space="preserve">143 (14)</w:t>
            </w:r>
          </w:p>
        </w:tc>
      </w:tr>
      <w:tr>
        <w:tc>
          <w:tcPr/>
          <w:p>
            <w:pPr>
              <w:pStyle w:val="Compact"/>
              <w:jc w:val="left"/>
            </w:pPr>
            <w:r>
              <w:rPr>
                <w:b/>
                <w:bCs/>
              </w:rPr>
              <w:t xml:space="preserve">Total</w:t>
            </w:r>
          </w:p>
        </w:tc>
        <w:tc>
          <w:tcPr/>
          <w:p>
            <w:pPr>
              <w:pStyle w:val="Compact"/>
              <w:jc w:val="left"/>
            </w:pPr>
            <w:r>
              <w:rPr>
                <w:b/>
                <w:bCs/>
              </w:rPr>
              <w:t xml:space="preserve">285</w:t>
            </w:r>
          </w:p>
        </w:tc>
        <w:tc>
          <w:tcPr/>
          <w:p>
            <w:pPr>
              <w:pStyle w:val="Compact"/>
              <w:jc w:val="left"/>
            </w:pPr>
            <w:r>
              <w:rPr>
                <w:b/>
                <w:bCs/>
              </w:rPr>
              <w:t xml:space="preserve">142</w:t>
            </w:r>
          </w:p>
        </w:tc>
        <w:tc>
          <w:tcPr/>
          <w:p>
            <w:pPr>
              <w:pStyle w:val="Compact"/>
              <w:jc w:val="left"/>
            </w:pPr>
            <w:r>
              <w:rPr>
                <w:b/>
                <w:bCs/>
              </w:rPr>
              <w:t xml:space="preserve">71</w:t>
            </w:r>
          </w:p>
        </w:tc>
        <w:tc>
          <w:tcPr/>
          <w:p>
            <w:pPr>
              <w:pStyle w:val="Compact"/>
              <w:jc w:val="left"/>
            </w:pPr>
            <w:r>
              <w:rPr>
                <w:b/>
                <w:bCs/>
              </w:rPr>
              <w:t xml:space="preserve">72</w:t>
            </w:r>
          </w:p>
        </w:tc>
        <w:tc>
          <w:tcPr/>
          <w:p>
            <w:pPr>
              <w:pStyle w:val="Compact"/>
              <w:jc w:val="left"/>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4800600" cy="6128425"/>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29" name="Picture"/>
            <a:graphic>
              <a:graphicData uri="http://schemas.openxmlformats.org/drawingml/2006/picture">
                <pic:pic>
                  <pic:nvPicPr>
                    <pic:cNvPr descr="figures/literature-flow.mmd.png" id="30" name="Picture"/>
                    <pic:cNvPicPr>
                      <a:picLocks noChangeArrowheads="1" noChangeAspect="1"/>
                    </pic:cNvPicPr>
                  </pic:nvPicPr>
                  <pic:blipFill>
                    <a:blip r:embed="rId28"/>
                    <a:stretch>
                      <a:fillRect/>
                    </a:stretch>
                  </pic:blipFill>
                  <pic:spPr bwMode="auto">
                    <a:xfrm>
                      <a:off x="0" y="0"/>
                      <a:ext cx="4800600" cy="6128425"/>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31"/>
    <w:bookmarkStart w:id="32"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2"/>
    <w:bookmarkStart w:id="33"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5000"/>
        <w:tblLayout w:type="fixed"/>
        <w:tblLook w:firstRow="1" w:lastRow="0" w:firstColumn="0" w:lastColumn="0" w:noHBand="0" w:noVBand="0" w:val="0020"/>
        <w:tblCaption w:val="AACODS Assessment of Industry Sources. "/>
      </w:tblPr>
      <w:tblGrid>
        <w:gridCol w:w="1584"/>
        <w:gridCol w:w="1584"/>
        <w:gridCol w:w="1584"/>
        <w:gridCol w:w="1584"/>
        <w:gridCol w:w="1584"/>
      </w:tblGrid>
      <w:tr>
        <w:trPr>
          <w:tblHeader w:val="on"/>
        </w:trPr>
        <w:tc>
          <w:tcPr/>
          <w:p>
            <w:pPr>
              <w:pStyle w:val="Compact"/>
              <w:jc w:val="left"/>
            </w:pPr>
            <w:r>
              <w:t xml:space="preserve">Source (Citation)</w:t>
            </w:r>
          </w:p>
        </w:tc>
        <w:tc>
          <w:tcPr/>
          <w:p>
            <w:pPr>
              <w:pStyle w:val="Compact"/>
              <w:jc w:val="left"/>
            </w:pPr>
            <w:r>
              <w:t xml:space="preserve">Authority /</w:t>
            </w:r>
            <w:r>
              <w:t xml:space="preserve"> </w:t>
            </w:r>
            <w:r>
              <w:t xml:space="preserve">Accuracy</w:t>
            </w:r>
          </w:p>
        </w:tc>
        <w:tc>
          <w:tcPr/>
          <w:p>
            <w:pPr>
              <w:pStyle w:val="Compact"/>
              <w:jc w:val="left"/>
            </w:pPr>
            <w:r>
              <w:t xml:space="preserve">Coverage /</w:t>
            </w:r>
            <w:r>
              <w:t xml:space="preserve"> </w:t>
            </w:r>
            <w:r>
              <w:t xml:space="preserve">Objectivity</w:t>
            </w:r>
          </w:p>
        </w:tc>
        <w:tc>
          <w:tcPr/>
          <w:p>
            <w:pPr>
              <w:pStyle w:val="Compact"/>
              <w:jc w:val="left"/>
            </w:pPr>
            <w:r>
              <w:t xml:space="preserve">Date /</w:t>
            </w:r>
            <w:r>
              <w:t xml:space="preserve"> </w:t>
            </w:r>
            <w:r>
              <w:t xml:space="preserve">Significance</w:t>
            </w:r>
          </w:p>
        </w:tc>
        <w:tc>
          <w:tcPr/>
          <w:p>
            <w:pPr>
              <w:pStyle w:val="Compact"/>
              <w:jc w:val="left"/>
            </w:pPr>
            <w:r>
              <w:t xml:space="preserve">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Global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Snowdon /</w:t>
            </w:r>
            <w:r>
              <w:t xml:space="preserve"> </w:t>
            </w:r>
            <w:r>
              <w:t xml:space="preserve">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US /</w:t>
            </w:r>
            <w:r>
              <w:t xml:space="preserve"> </w:t>
            </w:r>
            <w:r>
              <w:t xml:space="preserve">Low</w:t>
            </w:r>
          </w:p>
        </w:tc>
        <w:tc>
          <w:tcPr/>
          <w:p>
            <w:pPr>
              <w:pStyle w:val="Compact"/>
              <w:jc w:val="left"/>
            </w:pPr>
            <w:r>
              <w:t xml:space="preserve">2020 /</w:t>
            </w:r>
            <w:r>
              <w:t xml:space="preserve"> </w:t>
            </w:r>
            <w:r>
              <w:t xml:space="preserve">Medium</w:t>
            </w:r>
          </w:p>
        </w:tc>
        <w:tc>
          <w:tcPr/>
          <w:p>
            <w:pPr>
              <w:pStyle w:val="Compact"/>
              <w:jc w:val="left"/>
            </w:pPr>
            <w:r>
              <w:t xml:space="preserve">Yes*</w:t>
            </w: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Single site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Forrester /</w:t>
            </w:r>
            <w:r>
              <w:t xml:space="preserve"> </w:t>
            </w:r>
            <w:r>
              <w:t xml:space="preserve">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Enterprise /</w:t>
            </w:r>
            <w:r>
              <w:t xml:space="preserve"> </w:t>
            </w:r>
            <w:r>
              <w:t xml:space="preserve">Low♢</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w:t>
            </w:r>
            <w:r>
              <w:t xml:space="preserve"> </w:t>
            </w:r>
            <w:r>
              <w:t xml:space="preserve">Unverifiable</w:t>
            </w:r>
          </w:p>
        </w:tc>
        <w:tc>
          <w:tcPr/>
          <w:p>
            <w:pPr>
              <w:pStyle w:val="Compact"/>
              <w:jc w:val="left"/>
            </w:pPr>
            <w:r>
              <w:t xml:space="preserve">N/A /</w:t>
            </w:r>
            <w:r>
              <w:t xml:space="preserve"> </w:t>
            </w:r>
            <w:r>
              <w:t xml:space="preserve">Low</w:t>
            </w:r>
          </w:p>
        </w:tc>
        <w:tc>
          <w:tcPr/>
          <w:p>
            <w:pPr>
              <w:pStyle w:val="Compact"/>
              <w:jc w:val="left"/>
            </w:pPr>
            <w:r>
              <w:t xml:space="preserve">2024 /</w:t>
            </w:r>
            <w:r>
              <w:t xml:space="preserve"> </w:t>
            </w:r>
            <w:r>
              <w:t xml:space="preserve">Low</w:t>
            </w:r>
          </w:p>
        </w:tc>
        <w:tc>
          <w:tcPr/>
          <w:p>
            <w:pPr>
              <w:pStyle w:val="Compact"/>
              <w:jc w:val="left"/>
            </w:pPr>
            <w:r>
              <w:t xml:space="preserve">Yes*</w:t>
            </w: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Global /</w:t>
            </w:r>
            <w:r>
              <w:t xml:space="preserve"> </w:t>
            </w:r>
            <w:r>
              <w:t xml:space="preserve">Medium</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w:t>
            </w:r>
            <w:r>
              <w:t xml:space="preserve"> </w:t>
            </w:r>
            <w:r>
              <w:t xml:space="preserve">Verifiable</w:t>
            </w:r>
          </w:p>
        </w:tc>
        <w:tc>
          <w:tcPr/>
          <w:p>
            <w:pPr>
              <w:pStyle w:val="Compact"/>
              <w:jc w:val="left"/>
            </w:pPr>
            <w:r>
              <w:t xml:space="preserve">N/A /</w:t>
            </w:r>
            <w:r>
              <w:t xml:space="preserve"> </w:t>
            </w:r>
            <w:r>
              <w:t xml:space="preserve">Medium</w:t>
            </w:r>
          </w:p>
        </w:tc>
        <w:tc>
          <w:tcPr/>
          <w:p>
            <w:pPr>
              <w:pStyle w:val="Compact"/>
              <w:jc w:val="left"/>
            </w:pPr>
            <w:r>
              <w:t xml:space="preserve">2025 /</w:t>
            </w:r>
            <w:r>
              <w:t xml:space="preserve"> </w:t>
            </w:r>
            <w:r>
              <w:t xml:space="preserve">Low</w:t>
            </w:r>
          </w:p>
        </w:tc>
        <w:tc>
          <w:tcPr/>
          <w:p>
            <w:pPr>
              <w:pStyle w:val="Compact"/>
              <w:jc w:val="left"/>
            </w:pPr>
            <w:r>
              <w:t xml:space="preserve">Yes</w:t>
            </w: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2022 /</w:t>
            </w:r>
            <w:r>
              <w:t xml:space="preserve"> </w:t>
            </w:r>
            <w:r>
              <w:t xml:space="preserve">High</w:t>
            </w:r>
          </w:p>
        </w:tc>
        <w:tc>
          <w:tcPr/>
          <w:p>
            <w:pPr>
              <w:pStyle w:val="Compact"/>
              <w:jc w:val="left"/>
            </w:pPr>
            <w:r>
              <w:t xml:space="preserve">Yes</w:t>
            </w:r>
          </w:p>
        </w:tc>
      </w:tr>
      <w:tr>
        <w:tc>
          <w:tcPr/>
          <w:p>
            <w:pPr>
              <w:pStyle w:val="Compact"/>
              <w:jc w:val="left"/>
            </w:pPr>
            <w:r>
              <w:t xml:space="preserve">CNBC /</w:t>
            </w:r>
            <w:r>
              <w:t xml:space="preserve"> </w:t>
            </w:r>
            <w:r>
              <w:t xml:space="preserve">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2021 /</w:t>
            </w:r>
            <w:r>
              <w:t xml:space="preserve"> </w:t>
            </w:r>
            <w:r>
              <w:t xml:space="preserve">High</w:t>
            </w:r>
          </w:p>
        </w:tc>
        <w:tc>
          <w:tcPr/>
          <w:p>
            <w:pPr>
              <w:pStyle w:val="Compact"/>
              <w:jc w:val="left"/>
            </w:pPr>
            <w:r>
              <w:t xml:space="preserve">Yes</w:t>
            </w:r>
          </w:p>
        </w:tc>
      </w:tr>
      <w:tr>
        <w:tc>
          <w:tcPr/>
          <w:p>
            <w:pPr>
              <w:pStyle w:val="Compact"/>
              <w:jc w:val="left"/>
            </w:pPr>
            <w:r>
              <w:t xml:space="preserve">AHIMA /</w:t>
            </w:r>
            <w:r>
              <w:t xml:space="preserve"> </w:t>
            </w:r>
            <w:r>
              <w:t xml:space="preserve">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US /</w:t>
            </w:r>
            <w:r>
              <w:t xml:space="preserve"> </w:t>
            </w:r>
            <w:r>
              <w:t xml:space="preserve">High</w:t>
            </w:r>
          </w:p>
        </w:tc>
        <w:tc>
          <w:tcPr/>
          <w:p>
            <w:pPr>
              <w:pStyle w:val="Compact"/>
              <w:jc w:val="left"/>
            </w:pPr>
            <w:r>
              <w:t xml:space="preserve">2023 /</w:t>
            </w:r>
            <w:r>
              <w:t xml:space="preserve"> </w:t>
            </w:r>
            <w:r>
              <w:t xml:space="preserve">High</w:t>
            </w:r>
          </w:p>
        </w:tc>
        <w:tc>
          <w:tcPr/>
          <w:p>
            <w:pPr>
              <w:pStyle w:val="Compact"/>
              <w:jc w:val="left"/>
            </w:pPr>
            <w:r>
              <w:t xml:space="preserve">Yes</w:t>
            </w: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3"/>
    <w:bookmarkStart w:id="34"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t xml:space="preserve">Analytics maturity: Evidence on HIMSS AMAM adoption, healthcare analytics capabilities, and organizational readiness</w:t>
      </w:r>
    </w:p>
    <w:p>
      <w:pPr>
        <w:pStyle w:val="Compact"/>
        <w:numPr>
          <w:ilvl w:val="0"/>
          <w:numId w:val="1012"/>
        </w:numPr>
      </w:pPr>
      <w:r>
        <w:t xml:space="preserve">Workforce turnover: Evidence on nursing and IT staff turnover rates, institutional memory loss, and knowledge transfer challenges</w:t>
      </w:r>
    </w:p>
    <w:p>
      <w:pPr>
        <w:pStyle w:val="Compact"/>
        <w:numPr>
          <w:ilvl w:val="0"/>
          <w:numId w:val="1012"/>
        </w:numPr>
      </w:pPr>
      <w:r>
        <w:t xml:space="preserve">Technical barriers: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4"/>
    <w:bookmarkStart w:id="35"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“data desert”</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5"/>
    <w:bookmarkEnd w:id="36"/>
    <w:bookmarkStart w:id="40"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7"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 Analytics Maturity (Observation/Context) is driven by low Workforce Agility (Cause/Actor), which in turn is exacerbated by low Technical Enablement (Root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37"/>
    <w:bookmarkStart w:id="38"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Three Pillars</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w:t>
            </w:r>
            <w:r>
              <w:t xml:space="preserve"> </w:t>
            </w:r>
            <m:oMath>
              <m:r>
                <m:rPr>
                  <m:sty m:val="p"/>
                </m:rPr>
                <m:t>→</m:t>
              </m:r>
            </m:oMath>
            <w:r>
              <w:t xml:space="preserve"> </w:t>
            </w:r>
            <w:r>
              <w:t xml:space="preserve">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w:t>
            </w:r>
            <w:r>
              <w:t xml:space="preserve"> </w:t>
            </w:r>
            <m:oMath>
              <m:r>
                <m:rPr>
                  <m:sty m:val="p"/>
                </m:rPr>
                <m:t>→</m:t>
              </m:r>
            </m:oMath>
            <w:r>
              <w:t xml:space="preserve"> </w:t>
            </w:r>
            <w:r>
              <w:t xml:space="preserve">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w:t>
            </w:r>
            <w:r>
              <w:t xml:space="preserve"> </w:t>
            </w:r>
            <m:oMath>
              <m:r>
                <m:rPr>
                  <m:sty m:val="p"/>
                </m:rPr>
                <m:t>→</m:t>
              </m:r>
            </m:oMath>
            <w:r>
              <w:t xml:space="preserve"> </w:t>
            </w:r>
            <w:r>
              <w:t xml:space="preserve">Knowledge</w:t>
            </w:r>
          </w:p>
        </w:tc>
        <w:tc>
          <w:tcPr/>
          <w:p>
            <w:pPr>
              <w:pStyle w:val="Compact"/>
              <w:jc w:val="left"/>
            </w:pPr>
            <w:r>
              <w:t xml:space="preserve">Knowledge Codification</w:t>
            </w:r>
          </w:p>
        </w:tc>
      </w:tr>
    </w:tbl>
    <w:p>
      <w:pPr>
        <w:pStyle w:val="BodyText"/>
      </w:pPr>
      <w:r>
        <w:t xml:space="preserve">Table 3: Framework Alignment with Established Models</w:t>
      </w:r>
      <w:r>
        <w:t xml:space="preserve"> </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38"/>
    <w:bookmarkStart w:id="39"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39"/>
    <w:bookmarkEnd w:id="40"/>
    <w:bookmarkStart w:id="67"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5" w:name="state-of-healthcare-analytics-maturity"/>
    <w:p>
      <w:pPr>
        <w:pStyle w:val="Heading2"/>
      </w:pPr>
      <w:r>
        <w:rPr>
          <w:rStyle w:val="SectionNumber"/>
        </w:rPr>
        <w:t xml:space="preserve">4.1</w:t>
      </w:r>
      <w:r>
        <w:tab/>
      </w:r>
      <w:r>
        <w:t xml:space="preserve">State of Healthcare Analytics Maturity</w:t>
      </w:r>
    </w:p>
    <w:bookmarkStart w:id="41"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“analytics as a discipline has changed dramatically in the last five to 10 years,”</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“low-maturity trap”</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41"/>
    <w:bookmarkStart w:id="42"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2"/>
    <w:bookmarkStart w:id="43"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3"/>
    <w:bookmarkStart w:id="44"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“detective work”</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“loss of information with staff changes”</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4"/>
    <w:bookmarkEnd w:id="45"/>
    <w:bookmarkStart w:id="49" w:name="X033aaa01add75caa19416ed7b909f71ff5bd76d"/>
    <w:p>
      <w:pPr>
        <w:pStyle w:val="Heading2"/>
      </w:pPr>
      <w:r>
        <w:rPr>
          <w:rStyle w:val="SectionNumber"/>
        </w:rPr>
        <w:t xml:space="preserve">4.2</w:t>
      </w:r>
      <w:r>
        <w:tab/>
      </w:r>
      <w:r>
        <w:t xml:space="preserve">Healthcare Workforce Turnover and Knowledge Loss</w:t>
      </w:r>
    </w:p>
    <w:bookmarkStart w:id="46"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‘sliding back’</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“knowledge worker premium,”</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“Information and Digital Health”</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“revolving door”</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“organizational forgetting.”</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“forget”</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“loss of competence”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6"/>
    <w:bookmarkStart w:id="47"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“documentation paradox”</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“reasoning”</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“intelligibility gap”</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“fatal mistakes”</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47"/>
    <w:bookmarkStart w:id="48"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48"/>
    <w:bookmarkEnd w:id="49"/>
    <w:bookmarkStart w:id="54" w:name="Xb8a8e2823f9f1dde7832c4cb2e15583554ebaf3"/>
    <w:p>
      <w:pPr>
        <w:pStyle w:val="Heading2"/>
      </w:pPr>
      <w:r>
        <w:rPr>
          <w:rStyle w:val="SectionNumber"/>
        </w:rPr>
        <w:t xml:space="preserve">4.3</w:t>
      </w:r>
      <w:r>
        <w:tab/>
      </w:r>
      <w:r>
        <w:t xml:space="preserve">State of Natural Language to SQL Generation</w:t>
      </w:r>
    </w:p>
    <w:bookmarkStart w:id="50"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“current language models are not yet sufficiently accurate for unsupervised use”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50"/>
    <w:bookmarkStart w:id="51"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1"/>
    <w:bookmarkStart w:id="52"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2"/>
    <w:bookmarkStart w:id="53"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“many days”</w:t>
      </w:r>
      <w:r>
        <w:t xml:space="preserve"> </w:t>
      </w:r>
      <w:r>
        <w:t xml:space="preserve">with SQL to</w:t>
      </w:r>
      <w:r>
        <w:t xml:space="preserve"> </w:t>
      </w:r>
      <w:r>
        <w:t xml:space="preserve">“a few hours”</w:t>
      </w:r>
      <w:r>
        <w:t xml:space="preserve"> </w:t>
      </w:r>
      <w:r>
        <w:t xml:space="preserve">with natural language, with expert users describing SQL as</w:t>
      </w:r>
      <w:r>
        <w:t xml:space="preserve"> </w:t>
      </w:r>
      <w:r>
        <w:t xml:space="preserve">“very tedious and time-consuming”</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3"/>
    <w:bookmarkEnd w:id="54"/>
    <w:bookmarkStart w:id="58" w:name="Xca10dac733c4b284609ad3ca0d26f7400b78729"/>
    <w:p>
      <w:pPr>
        <w:pStyle w:val="Heading2"/>
      </w:pPr>
      <w:r>
        <w:rPr>
          <w:rStyle w:val="SectionNumber"/>
        </w:rPr>
        <w:t xml:space="preserve">4.4</w:t>
      </w:r>
      <w:r>
        <w:tab/>
      </w:r>
      <w:r>
        <w:t xml:space="preserve">Integration of Evidence: Synthesis Across Three Pillars</w:t>
      </w:r>
    </w:p>
    <w:bookmarkStart w:id="55"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“exploitation”</w:t>
      </w:r>
      <w:r>
        <w:t xml:space="preserve"> </w:t>
      </w:r>
      <w:r>
        <w:t xml:space="preserve">(monitoring known metrics such as bed occupancy or infection rates) and provide essential</w:t>
      </w:r>
      <w:r>
        <w:t xml:space="preserve"> </w:t>
      </w:r>
      <w:r>
        <w:t xml:space="preserve">“at-a-glance”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“time-to-insight”</w:t>
      </w:r>
      <w:r>
        <w:t xml:space="preserve"> </w:t>
      </w:r>
      <w:r>
        <w:t xml:space="preserve">by enabling</w:t>
      </w:r>
      <w:r>
        <w:t xml:space="preserve"> </w:t>
      </w:r>
      <w:r>
        <w:t xml:space="preserve">“exploration”</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“Visual-Conversational”</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55"/>
    <w:bookmarkStart w:id="56"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“validated queries”</w:t>
      </w:r>
      <w:r>
        <w:t xml:space="preserve"> </w:t>
      </w:r>
      <w:r>
        <w:t xml:space="preserve">remain in the system, allowing a junior replacement to immediately leverage that expertise rather than starting from zero, mitigating the</w:t>
      </w:r>
      <w:r>
        <w:t xml:space="preserve"> </w:t>
      </w:r>
      <w:r>
        <w:t xml:space="preserve">“loss of competence”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6"/>
    <w:bookmarkStart w:id="57"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7"/>
    <w:bookmarkEnd w:id="58"/>
    <w:bookmarkStart w:id="62" w:name="strategic-alignment-with-industry-trends"/>
    <w:p>
      <w:pPr>
        <w:pStyle w:val="Heading2"/>
      </w:pPr>
      <w:r>
        <w:rPr>
          <w:rStyle w:val="SectionNumber"/>
        </w:rPr>
        <w:t xml:space="preserve">4.5</w:t>
      </w:r>
      <w:r>
        <w:tab/>
      </w:r>
      <w:r>
        <w:t xml:space="preserve">Strategic Alignment with Industry Trends</w:t>
      </w:r>
    </w:p>
    <w:bookmarkStart w:id="59"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59"/>
    <w:bookmarkStart w:id="60"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0"/>
    <w:bookmarkStart w:id="61"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1"/>
    <w:bookmarkEnd w:id="62"/>
    <w:bookmarkStart w:id="63"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63"/>
    <w:bookmarkStart w:id="66"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4"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“patchwork”</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“messy reality”</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4"/>
    <w:bookmarkStart w:id="65"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5"/>
    <w:bookmarkEnd w:id="66"/>
    <w:bookmarkEnd w:id="67"/>
    <w:bookmarkStart w:id="97" w:name="discussion"/>
    <w:p>
      <w:pPr>
        <w:pStyle w:val="Heading1"/>
      </w:pPr>
      <w:r>
        <w:rPr>
          <w:rStyle w:val="SectionNumber"/>
        </w:rPr>
        <w:t xml:space="preserve">5</w:t>
      </w:r>
      <w:r>
        <w:tab/>
      </w:r>
      <w:r>
        <w:t xml:space="preserve">Discussion</w:t>
      </w:r>
    </w:p>
    <w:bookmarkStart w:id="73"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68"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68"/>
    <w:bookmarkStart w:id="69"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69"/>
    <w:bookmarkStart w:id="70"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0"/>
    <w:bookmarkStart w:id="71"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1"/>
    <w:bookmarkStart w:id="72"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“current language models are not yet sufficiently accurate for unsupervised use,”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72"/>
    <w:bookmarkEnd w:id="73"/>
    <w:bookmarkStart w:id="80"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4"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4"/>
    <w:bookmarkStart w:id="75"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5"/>
    <w:bookmarkStart w:id="76"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6"/>
    <w:bookmarkStart w:id="77"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77"/>
    <w:bookmarkStart w:id="78"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78"/>
    <w:bookmarkStart w:id="79"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79"/>
    <w:bookmarkEnd w:id="80"/>
    <w:bookmarkStart w:id="84"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1"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81"/>
    <w:bookmarkStart w:id="82"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82"/>
    <w:bookmarkStart w:id="83"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83"/>
    <w:bookmarkEnd w:id="84"/>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triples address each weakness:</w:t>
      </w:r>
    </w:p>
    <w:p>
      <w:pPr>
        <w:pStyle w:val="Compact"/>
        <w:numPr>
          <w:ilvl w:val="0"/>
          <w:numId w:val="1023"/>
        </w:numPr>
      </w:pPr>
      <w:r>
        <w:rPr>
          <w:i/>
          <w:iCs/>
        </w:rPr>
        <w:t xml:space="preserve">Executability</w:t>
      </w:r>
      <w:r>
        <w:t xml:space="preserve">: Validated triples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triples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triple is incomplete without mandatory</w:t>
      </w:r>
      <w:r>
        <w:t xml:space="preserve"> </w:t>
      </w:r>
      <w:r>
        <w:t xml:space="preserve">“Rationale Metadata,”</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“Excluding Hospice per 2025 CMS rules”</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triples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85"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“validator paradox,”</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“standard work”</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“current best way”</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“organizational knowledge ratchet”</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“sliding back to zero”</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“core nucleus”</w:t>
      </w:r>
      <w:r>
        <w:t xml:space="preserve"> </w:t>
      </w:r>
      <w:r>
        <w:t xml:space="preserve">of experts, the system accumulates knowledge incrementally, using the structure of the validation process to buffer against the disruptive effects of turnover.</w:t>
      </w:r>
    </w:p>
    <w:bookmarkEnd w:id="85"/>
    <w:bookmarkStart w:id="86"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“Semantic Fabrics”</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“schema drift”</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“semantic gap”</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6"/>
    <w:bookmarkStart w:id="87"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“frozen”</w:t>
      </w:r>
      <w:r>
        <w:t xml:space="preserve"> </w:t>
      </w:r>
      <w:r>
        <w:t xml:space="preserve">code. To address</w:t>
      </w:r>
      <w:r>
        <w:t xml:space="preserve"> </w:t>
      </w:r>
      <w:r>
        <w:t xml:space="preserve">“Schema Drift,”</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Triples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“Institutional Memory”</w:t>
      </w:r>
      <w:r>
        <w:t xml:space="preserve"> </w:t>
      </w:r>
      <w:r>
        <w:t xml:space="preserve">from a stagnant repository into a living, automated test suite that actively signals when organizational knowledge has drifted from technical reality.</w:t>
      </w:r>
    </w:p>
    <w:bookmarkEnd w:id="87"/>
    <w:bookmarkEnd w:id="88"/>
    <w:bookmarkStart w:id="96"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89"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89"/>
    <w:bookmarkStart w:id="90"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0"/>
    <w:bookmarkStart w:id="91"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1"/>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“Low Strength”</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t xml:space="preserve">Table 4: Three-Pillar Organizational Assessment Rubric</w:t>
      </w:r>
    </w:p>
    <w:p>
      <w:pPr>
        <w:pStyle w:val="BodyText"/>
      </w:pPr>
      <w: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t xml:space="preserve">Pillar 3: Technical Enablement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t xml:space="preserve">Multi-Pillar Convergence Assessment: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“Low Strength”</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4"/>
    <w:bookmarkStart w:id="95" w:name="mitigating-shadow-it-with-golden-queries"/>
    <w:p>
      <w:pPr>
        <w:pStyle w:val="Heading3"/>
      </w:pPr>
      <w:r>
        <w:rPr>
          <w:rStyle w:val="SectionNumber"/>
        </w:rPr>
        <w:t xml:space="preserve">5.5.4</w:t>
      </w:r>
      <w:r>
        <w:tab/>
      </w:r>
      <w:r>
        <w:t xml:space="preserve">Mitigating</w:t>
      </w:r>
      <w:r>
        <w:t xml:space="preserve"> </w:t>
      </w:r>
      <w:r>
        <w:t xml:space="preserve">“Shadow IT”</w:t>
      </w:r>
      <w:r>
        <w:t xml:space="preserve"> </w:t>
      </w:r>
      <w:r>
        <w:t xml:space="preserve">with</w:t>
      </w:r>
      <w:r>
        <w:t xml:space="preserve"> </w:t>
      </w:r>
      <w:r>
        <w:t xml:space="preserve">“Golden Queries”</w:t>
      </w:r>
    </w:p>
    <w:p>
      <w:pPr>
        <w:pStyle w:val="FirstParagraph"/>
      </w:pPr>
      <w:r>
        <w:t xml:space="preserve">To prevent the</w:t>
      </w:r>
      <w:r>
        <w:t xml:space="preserve"> </w:t>
      </w:r>
      <w:r>
        <w:t xml:space="preserve">“chaos of conflicting definitions”</w:t>
      </w:r>
      <w:r>
        <w:t xml:space="preserve"> </w:t>
      </w:r>
      <w:r>
        <w:t xml:space="preserve">that can arise from democratized analytics, organizations can introduce a</w:t>
      </w:r>
      <w:r>
        <w:t xml:space="preserve"> </w:t>
      </w:r>
      <w:r>
        <w:t xml:space="preserve">“Golden Query”</w:t>
      </w:r>
      <w:r>
        <w:t xml:space="preserve"> </w:t>
      </w:r>
      <w:r>
        <w:t xml:space="preserve">governance status. In this model, a central committee can certify specific validated triples as the</w:t>
      </w:r>
      <w:r>
        <w:t xml:space="preserve"> </w:t>
      </w:r>
      <w:r>
        <w:t xml:space="preserve">“source of truth”</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“Shadow IT”</w:t>
      </w:r>
      <w:r>
        <w:t xml:space="preserve"> </w:t>
      </w:r>
      <w:r>
        <w:t xml:space="preserve">(</w:t>
      </w:r>
      <w:hyperlink w:anchor="ref-zimmermann2017">
        <w:r>
          <w:rPr>
            <w:rStyle w:val="Hyperlink"/>
          </w:rPr>
          <w:t xml:space="preserve">135</w:t>
        </w:r>
      </w:hyperlink>
      <w:r>
        <w:t xml:space="preserve">)</w:t>
      </w:r>
      <w:r>
        <w:t xml:space="preserve">.</w:t>
      </w:r>
    </w:p>
    <w:bookmarkEnd w:id="95"/>
    <w:bookmarkEnd w:id="96"/>
    <w:bookmarkEnd w:id="97"/>
    <w:bookmarkStart w:id="101"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8"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98"/>
    <w:bookmarkStart w:id="99"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“Golden Queries”</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99"/>
    <w:bookmarkStart w:id="100"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“doing nothing”</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0"/>
    <w:bookmarkEnd w:id="101"/>
    <w:bookmarkStart w:id="102"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2"/>
    <w:bookmarkStart w:id="103"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3"/>
    <w:bookmarkStart w:id="104"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4"/>
    <w:bookmarkStart w:id="105"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5"/>
    <w:bookmarkStart w:id="106"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6"/>
    <w:bookmarkStart w:id="107"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7"/>
    <w:bookmarkStart w:id="108"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08"/>
    <w:bookmarkStart w:id="109" w:name="multimedia-appendix"/>
    <w:p>
      <w:pPr>
        <w:pStyle w:val="Heading1"/>
      </w:pPr>
      <w:r>
        <w:rPr>
          <w:rStyle w:val="SectionNumber"/>
        </w:rPr>
        <w:t xml:space="preserve">14</w:t>
      </w:r>
      <w:r>
        <w:tab/>
      </w:r>
      <w:r>
        <w:t xml:space="preserve">Multimedia Appendix</w:t>
      </w:r>
    </w:p>
    <w:p>
      <w:pPr>
        <w:pStyle w:val="FirstParagraph"/>
      </w:pPr>
      <w:r>
        <w:t xml:space="preserve">Multimedia Appendix 1: HIMSS Analytics Maturity Assessment Model (AMAM) Stages (see</w:t>
      </w:r>
      <w:r>
        <w:t xml:space="preserve"> </w:t>
      </w:r>
      <w:r>
        <w:rPr>
          <w:rStyle w:val="VerbatimChar"/>
        </w:rPr>
        <w:t xml:space="preserve">multimedia_appendix_1.pdf</w:t>
      </w:r>
      <w:r>
        <w:t xml:space="preserve">).</w:t>
      </w:r>
    </w:p>
    <w:p>
      <w:pPr>
        <w:pStyle w:val="BodyText"/>
      </w:pPr>
      <w:r>
        <w:t xml:space="preserve">Multimedia Appendix 2: Healthcare NL2SQL Query Examples (see</w:t>
      </w:r>
      <w:r>
        <w:t xml:space="preserve"> </w:t>
      </w:r>
      <w:r>
        <w:rPr>
          <w:rStyle w:val="VerbatimChar"/>
        </w:rPr>
        <w:t xml:space="preserve">multimedia_appendix_2.pdf</w:t>
      </w:r>
      <w:r>
        <w:t xml:space="preserve">).</w:t>
      </w:r>
    </w:p>
    <w:bookmarkEnd w:id="109"/>
    <w:bookmarkStart w:id="382" w:name="references"/>
    <w:p>
      <w:pPr>
        <w:pStyle w:val="Heading1"/>
      </w:pPr>
      <w:r>
        <w:rPr>
          <w:rStyle w:val="SectionNumber"/>
        </w:rPr>
        <w:t xml:space="preserve">15</w:t>
      </w:r>
      <w:r>
        <w:tab/>
      </w:r>
      <w:r>
        <w:t xml:space="preserve">References</w:t>
      </w:r>
    </w:p>
    <w:bookmarkStart w:id="381" w:name="refs"/>
    <w:bookmarkStart w:id="111"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0">
        <w:r>
          <w:rPr>
            <w:rStyle w:val="Hyperlink"/>
          </w:rPr>
          <w:t xml:space="preserve">https://www.ahima.org/news-publications/press-room-press-releases/2023-press-releases/health-information-workforce-shortages-persist-as-ai-shows-promise-ahima-survey-reveals/</w:t>
        </w:r>
      </w:hyperlink>
    </w:p>
    <w:bookmarkEnd w:id="111"/>
    <w:bookmarkStart w:id="113"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2">
        <w:r>
          <w:rPr>
            <w:rStyle w:val="Hyperlink"/>
          </w:rPr>
          <w:t xml:space="preserve">https://www.himss.org/maturity-models/amam/</w:t>
        </w:r>
      </w:hyperlink>
    </w:p>
    <w:bookmarkEnd w:id="113"/>
    <w:bookmarkStart w:id="115"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15"/>
    <w:bookmarkStart w:id="117"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6">
        <w:r>
          <w:rPr>
            <w:rStyle w:val="Hyperlink"/>
          </w:rPr>
          <w:t xml:space="preserve">https://api.wittkieffer.com/wp-content/uploads/2012/10/cio-insights-the-state-of-healthcare-it-leadership-wittkieffer-october-2024.pdf</w:t>
        </w:r>
      </w:hyperlink>
    </w:p>
    <w:bookmarkEnd w:id="117"/>
    <w:bookmarkStart w:id="119"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8">
        <w:r>
          <w:rPr>
            <w:rStyle w:val="Hyperlink"/>
          </w:rPr>
          <w:t xml:space="preserve">https://www.himss.org/resources/the-future-of-workforce/</w:t>
        </w:r>
      </w:hyperlink>
    </w:p>
    <w:bookmarkEnd w:id="119"/>
    <w:bookmarkStart w:id="121"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0">
        <w:r>
          <w:rPr>
            <w:rStyle w:val="Hyperlink"/>
          </w:rPr>
          <w:t xml:space="preserve">https://academic.oup.com/jpubhealth</w:t>
        </w:r>
      </w:hyperlink>
    </w:p>
    <w:bookmarkEnd w:id="121"/>
    <w:bookmarkStart w:id="123"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2">
        <w:r>
          <w:rPr>
            <w:rStyle w:val="Hyperlink"/>
          </w:rPr>
          <w:t xml:space="preserve">https://dl.acm.org/doi/10.1145/1017114.1017118</w:t>
        </w:r>
      </w:hyperlink>
    </w:p>
    <w:bookmarkEnd w:id="123"/>
    <w:bookmarkStart w:id="125"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4">
        <w:r>
          <w:rPr>
            <w:rStyle w:val="Hyperlink"/>
          </w:rPr>
          <w:t xml:space="preserve">https://www.nyulawreview.org/issues/volume-94-number-4/data-standardization/</w:t>
        </w:r>
      </w:hyperlink>
    </w:p>
    <w:bookmarkEnd w:id="125"/>
    <w:bookmarkStart w:id="126"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6"/>
    <w:bookmarkStart w:id="128"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7">
        <w:r>
          <w:rPr>
            <w:rStyle w:val="Hyperlink"/>
          </w:rPr>
          <w:t xml:space="preserve">https://resources.anthropic.com/code-modernization-playbook</w:t>
        </w:r>
      </w:hyperlink>
    </w:p>
    <w:bookmarkEnd w:id="128"/>
    <w:bookmarkStart w:id="130"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9">
        <w:r>
          <w:rPr>
            <w:rStyle w:val="Hyperlink"/>
          </w:rPr>
          <w:t xml:space="preserve">https://dl.acm.org/doi/abs/10.1145/320251.320253</w:t>
        </w:r>
      </w:hyperlink>
    </w:p>
    <w:bookmarkEnd w:id="130"/>
    <w:bookmarkStart w:id="132"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1">
        <w:r>
          <w:rPr>
            <w:rStyle w:val="Hyperlink"/>
          </w:rPr>
          <w:t xml:space="preserve">https://www.allmultidisciplinaryjournal.com/uploads/archives/20250306182550_MGE-2025-2-018.1.pdf</w:t>
        </w:r>
      </w:hyperlink>
    </w:p>
    <w:bookmarkEnd w:id="132"/>
    <w:bookmarkStart w:id="134"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3">
        <w:r>
          <w:rPr>
            <w:rStyle w:val="Hyperlink"/>
          </w:rPr>
          <w:t xml:space="preserve">https://papers.ssrn.com/sol3/papers.cfm?abstract_id=5268176</w:t>
        </w:r>
      </w:hyperlink>
    </w:p>
    <w:bookmarkEnd w:id="134"/>
    <w:bookmarkStart w:id="136"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5">
        <w:r>
          <w:rPr>
            <w:rStyle w:val="Hyperlink"/>
          </w:rPr>
          <w:t xml:space="preserve">https://www.ingentaconnect.com/content/hsp/mih/2024/00000008/00000004/art00006</w:t>
        </w:r>
      </w:hyperlink>
    </w:p>
    <w:bookmarkEnd w:id="136"/>
    <w:bookmarkStart w:id="138"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138"/>
    <w:bookmarkStart w:id="140"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39">
        <w:r>
          <w:rPr>
            <w:rStyle w:val="Hyperlink"/>
          </w:rPr>
          <w:t xml:space="preserve">https://journalofbigdata.springeropen.com/articles/10.1186/s40537-019-0170-y</w:t>
        </w:r>
      </w:hyperlink>
    </w:p>
    <w:bookmarkEnd w:id="140"/>
    <w:bookmarkStart w:id="142"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1">
        <w:r>
          <w:rPr>
            <w:rStyle w:val="Hyperlink"/>
          </w:rPr>
          <w:t xml:space="preserve">https://www.tandfonline.com/doi/full/10.1080/20479700.2018.1531606</w:t>
        </w:r>
      </w:hyperlink>
    </w:p>
    <w:bookmarkEnd w:id="142"/>
    <w:bookmarkStart w:id="144"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43">
        <w:r>
          <w:rPr>
            <w:rStyle w:val="Hyperlink"/>
          </w:rPr>
          <w:t xml:space="preserve">https://www.tdx.cat/bitstream/handle/10803/695722/TGJBR1de1.pdf?sequence=1</w:t>
        </w:r>
      </w:hyperlink>
    </w:p>
    <w:bookmarkEnd w:id="144"/>
    <w:bookmarkStart w:id="146" w:name="ref-mosqueirarey2023"/>
    <w:p>
      <w:pPr>
        <w:pStyle w:val="Bibliography"/>
      </w:pPr>
      <w:r>
        <w:t xml:space="preserve">19.</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145">
        <w:r>
          <w:rPr>
            <w:rStyle w:val="Hyperlink"/>
          </w:rPr>
          <w:t xml:space="preserve">https://link.springer.com/content/pdf/10.1007/s10462-022-10246-w.pdf</w:t>
        </w:r>
      </w:hyperlink>
    </w:p>
    <w:bookmarkEnd w:id="146"/>
    <w:bookmarkStart w:id="148"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7">
        <w:r>
          <w:rPr>
            <w:rStyle w:val="Hyperlink"/>
          </w:rPr>
          <w:t xml:space="preserve">https://arxiv.org/abs/2403.09226</w:t>
        </w:r>
      </w:hyperlink>
    </w:p>
    <w:bookmarkEnd w:id="148"/>
    <w:bookmarkStart w:id="150"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9">
        <w:r>
          <w:rPr>
            <w:rStyle w:val="Hyperlink"/>
          </w:rPr>
          <w:t xml:space="preserve">https://dspace.flinders.edu.au/jspui/bitstream/2328/3326/4/AACODS_Checklist.pdf</w:t>
        </w:r>
      </w:hyperlink>
    </w:p>
    <w:bookmarkEnd w:id="150"/>
    <w:bookmarkStart w:id="152"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1">
        <w:r>
          <w:rPr>
            <w:rStyle w:val="Hyperlink"/>
          </w:rPr>
          <w:t xml:space="preserve">https://legacy.himss.org/news/new-analytics-maturity-adoption-model-pushes-digital-transformation-and-data-driven-decisions</w:t>
        </w:r>
      </w:hyperlink>
    </w:p>
    <w:bookmarkEnd w:id="152"/>
    <w:bookmarkStart w:id="154"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3">
        <w:r>
          <w:rPr>
            <w:rStyle w:val="Hyperlink"/>
          </w:rPr>
          <w:t xml:space="preserve">https://www.healthcatalyst.com/learn/insights/healthcare-analytics-adoption-model-roadmap-analytic-maturity</w:t>
        </w:r>
      </w:hyperlink>
    </w:p>
    <w:bookmarkEnd w:id="154"/>
    <w:bookmarkStart w:id="156"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5">
        <w:r>
          <w:rPr>
            <w:rStyle w:val="Hyperlink"/>
          </w:rPr>
          <w:t xml:space="preserve">https://ia.berkshirehealthcare.nhs.uk/citizen-developer-programme</w:t>
        </w:r>
      </w:hyperlink>
    </w:p>
    <w:bookmarkEnd w:id="156"/>
    <w:bookmarkStart w:id="158"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7">
        <w:r>
          <w:rPr>
            <w:rStyle w:val="Hyperlink"/>
          </w:rPr>
          <w:t xml:space="preserve">https://tei.forrester.com/go/microsoft/powerappstei/?lang=en-us</w:t>
        </w:r>
      </w:hyperlink>
    </w:p>
    <w:bookmarkEnd w:id="158"/>
    <w:bookmarkStart w:id="160"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59">
        <w:r>
          <w:rPr>
            <w:rStyle w:val="Hyperlink"/>
          </w:rPr>
          <w:t xml:space="preserve">https://www.oracle.com/human-capital-management/cost-employee-turnover-healthcare/</w:t>
        </w:r>
      </w:hyperlink>
    </w:p>
    <w:bookmarkEnd w:id="160"/>
    <w:bookmarkStart w:id="162"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1">
        <w:r>
          <w:rPr>
            <w:rStyle w:val="Hyperlink"/>
          </w:rPr>
          <w:t xml:space="preserve">https://www.precedenceresearch.com/healthcare-analytics-market</w:t>
        </w:r>
      </w:hyperlink>
    </w:p>
    <w:bookmarkEnd w:id="162"/>
    <w:bookmarkStart w:id="164"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3">
        <w:r>
          <w:rPr>
            <w:rStyle w:val="Hyperlink"/>
          </w:rPr>
          <w:t xml:space="preserve">https://newsroom.ibm.com/2022-01-21-Francisco-Partners-to-Acquire-IBMs-Healthcare-Data-and-Analytics-Assets</w:t>
        </w:r>
      </w:hyperlink>
    </w:p>
    <w:bookmarkEnd w:id="164"/>
    <w:bookmarkStart w:id="166"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5">
        <w:r>
          <w:rPr>
            <w:rStyle w:val="Hyperlink"/>
          </w:rPr>
          <w:t xml:space="preserve">https://www.cnbc.com/2021/01/04/haven-the-amazon-berkshire-jpmorgan-venture-to-disrupt-healthcare-is-disbanding-after-3-years.html</w:t>
        </w:r>
      </w:hyperlink>
    </w:p>
    <w:bookmarkEnd w:id="166"/>
    <w:bookmarkStart w:id="168"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67">
        <w:r>
          <w:rPr>
            <w:rStyle w:val="Hyperlink"/>
          </w:rPr>
          <w:t xml:space="preserve">https://doi.org/10.1201/9781003188162</w:t>
        </w:r>
      </w:hyperlink>
    </w:p>
    <w:bookmarkEnd w:id="168"/>
    <w:bookmarkStart w:id="170"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69">
        <w:r>
          <w:rPr>
            <w:rStyle w:val="Hyperlink"/>
          </w:rPr>
          <w:t xml:space="preserve">https://openurl.ebsco.com/EPDB%3Agcd%3A3%3A34056963/detailv2?sid=ebsco%3Aplink%3Ascholar&amp;id=ebsco%3Agcd%3A121526814</w:t>
        </w:r>
      </w:hyperlink>
    </w:p>
    <w:bookmarkEnd w:id="170"/>
    <w:bookmarkStart w:id="172" w:name="ref-rowley2007"/>
    <w:p>
      <w:pPr>
        <w:pStyle w:val="Bibliography"/>
      </w:pPr>
      <w:r>
        <w:t xml:space="preserve">32.</w:t>
      </w:r>
      <w:r>
        <w:t xml:space="preserve"> </w:t>
      </w:r>
      <w:r>
        <w:t xml:space="preserve">	</w:t>
      </w:r>
      <w:r>
        <w:t xml:space="preserve">Rowley J.</w:t>
      </w:r>
      <w:r>
        <w:t xml:space="preserve"> </w:t>
      </w:r>
      <w:hyperlink r:id="rId171">
        <w:r>
          <w:rPr>
            <w:rStyle w:val="Hyperlink"/>
          </w:rPr>
          <w:t xml:space="preserve">The wisdom hierarchy: representations of the DIKW hierarchy</w:t>
        </w:r>
      </w:hyperlink>
      <w:r>
        <w:t xml:space="preserve">. Journal of Information Science. 2007;33(2):163–80.</w:t>
      </w:r>
      <w:r>
        <w:t xml:space="preserve"> </w:t>
      </w:r>
    </w:p>
    <w:bookmarkEnd w:id="172"/>
    <w:bookmarkStart w:id="174"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3">
        <w:r>
          <w:rPr>
            <w:rStyle w:val="Hyperlink"/>
          </w:rPr>
          <w:t xml:space="preserve">https://onlinelibrary.wiley.com/doi/abs/10.1057/palgrave.emr.1500057</w:t>
        </w:r>
      </w:hyperlink>
    </w:p>
    <w:bookmarkEnd w:id="174"/>
    <w:bookmarkStart w:id="176"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5">
        <w:r>
          <w:rPr>
            <w:rStyle w:val="Hyperlink"/>
          </w:rPr>
          <w:t xml:space="preserve">https://doi.org/10.1108/JKM-08-2016-0338</w:t>
        </w:r>
      </w:hyperlink>
    </w:p>
    <w:bookmarkEnd w:id="176"/>
    <w:bookmarkStart w:id="178"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7">
        <w:r>
          <w:rPr>
            <w:rStyle w:val="Hyperlink"/>
          </w:rPr>
          <w:t xml:space="preserve">https://www.frontiersin.org/articles/10.3389/fpsyg.2019.02730</w:t>
        </w:r>
      </w:hyperlink>
    </w:p>
    <w:bookmarkEnd w:id="178"/>
    <w:bookmarkStart w:id="180"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79">
        <w:r>
          <w:rPr>
            <w:rStyle w:val="Hyperlink"/>
          </w:rPr>
          <w:t xml:space="preserve">https://www.emerald.com/insight/content/doi/10.1108/13673270610650067/full/html</w:t>
        </w:r>
      </w:hyperlink>
    </w:p>
    <w:bookmarkEnd w:id="180"/>
    <w:bookmarkStart w:id="182"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1">
        <w:r>
          <w:rPr>
            <w:rStyle w:val="Hyperlink"/>
          </w:rPr>
          <w:t xml:space="preserve">https://doi.org/10.1016/j.ijinfomgt.2003.12.012</w:t>
        </w:r>
      </w:hyperlink>
    </w:p>
    <w:bookmarkEnd w:id="182"/>
    <w:bookmarkStart w:id="184"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3">
        <w:r>
          <w:rPr>
            <w:rStyle w:val="Hyperlink"/>
          </w:rPr>
          <w:t xml:space="preserve">https://www.emerald.com/insight/content/doi/10.1108/JKM-03-2024-0262/full/html</w:t>
        </w:r>
      </w:hyperlink>
    </w:p>
    <w:bookmarkEnd w:id="184"/>
    <w:bookmarkStart w:id="186"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5">
        <w:r>
          <w:rPr>
            <w:rStyle w:val="Hyperlink"/>
          </w:rPr>
          <w:t xml:space="preserve">https://www.sciencedirect.com/science/article/abs/pii/S0040162516000500</w:t>
        </w:r>
      </w:hyperlink>
    </w:p>
    <w:bookmarkEnd w:id="186"/>
    <w:bookmarkStart w:id="188"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7">
        <w:r>
          <w:rPr>
            <w:rStyle w:val="Hyperlink"/>
          </w:rPr>
          <w:t xml:space="preserve">https://www.sciencedirect.com/science/article/abs/pii/S0148296316304891</w:t>
        </w:r>
      </w:hyperlink>
    </w:p>
    <w:bookmarkEnd w:id="188"/>
    <w:bookmarkStart w:id="189"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89"/>
    <w:bookmarkStart w:id="191"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0">
        <w:r>
          <w:rPr>
            <w:rStyle w:val="Hyperlink"/>
          </w:rPr>
          <w:t xml:space="preserve">https://www.tgh.org/news/tgh-press-releases/2025/june/tampa-general-hospital-awarded-highest-designation-analytics-himss</w:t>
        </w:r>
      </w:hyperlink>
    </w:p>
    <w:bookmarkEnd w:id="191"/>
    <w:bookmarkStart w:id="193"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2">
        <w:r>
          <w:rPr>
            <w:rStyle w:val="Hyperlink"/>
          </w:rPr>
          <w:t xml:space="preserve">https://www.prnewswire.com/news-releases/taiwans-first-hospital-to-achieve-amam-stage-7-certification-302390824.html</w:t>
        </w:r>
      </w:hyperlink>
    </w:p>
    <w:bookmarkEnd w:id="193"/>
    <w:bookmarkStart w:id="195"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4">
        <w:r>
          <w:rPr>
            <w:rStyle w:val="Hyperlink"/>
          </w:rPr>
          <w:t xml:space="preserve">https://medicalbuyer.co.in/2-medical-groups-in-saudi-arabia-achieve-stage-7-digital-maturity/</w:t>
        </w:r>
      </w:hyperlink>
    </w:p>
    <w:bookmarkEnd w:id="195"/>
    <w:bookmarkStart w:id="197"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6">
        <w:r>
          <w:rPr>
            <w:rStyle w:val="Hyperlink"/>
          </w:rPr>
          <w:t xml:space="preserve">https://www.jmir.org/2024/1/e56316</w:t>
        </w:r>
      </w:hyperlink>
    </w:p>
    <w:bookmarkEnd w:id="197"/>
    <w:bookmarkStart w:id="199"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98">
        <w:r>
          <w:rPr>
            <w:rStyle w:val="Hyperlink"/>
          </w:rPr>
          <w:t xml:space="preserve">https://onlinelibrary.wiley.com/doi/abs/10.1111/1467-8551.12332</w:t>
        </w:r>
      </w:hyperlink>
    </w:p>
    <w:bookmarkEnd w:id="199"/>
    <w:bookmarkStart w:id="201"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0">
        <w:r>
          <w:rPr>
            <w:rStyle w:val="Hyperlink"/>
          </w:rPr>
          <w:t xml:space="preserve">https://www.mdpi.com/2227-9032/13/1/1</w:t>
        </w:r>
      </w:hyperlink>
    </w:p>
    <w:bookmarkEnd w:id="201"/>
    <w:bookmarkStart w:id="203"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2">
        <w:r>
          <w:rPr>
            <w:rStyle w:val="Hyperlink"/>
          </w:rPr>
          <w:t xml:space="preserve">https://www.sciencedirect.com/science/article/pii/S1386505624001916</w:t>
        </w:r>
      </w:hyperlink>
    </w:p>
    <w:bookmarkEnd w:id="203"/>
    <w:bookmarkStart w:id="205"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4">
        <w:r>
          <w:rPr>
            <w:rStyle w:val="Hyperlink"/>
          </w:rPr>
          <w:t xml:space="preserve">https://scholarworks.waldenu.edu/cgi/viewcontent.cgi?article=12395&amp;context=dissertations</w:t>
        </w:r>
      </w:hyperlink>
    </w:p>
    <w:bookmarkEnd w:id="205"/>
    <w:bookmarkStart w:id="207"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6">
        <w:r>
          <w:rPr>
            <w:rStyle w:val="Hyperlink"/>
          </w:rPr>
          <w:t xml:space="preserve">https://www.nature.com/articles/s41746-019-0118-9</w:t>
        </w:r>
      </w:hyperlink>
    </w:p>
    <w:bookmarkEnd w:id="207"/>
    <w:bookmarkStart w:id="209"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8">
        <w:r>
          <w:rPr>
            <w:rStyle w:val="Hyperlink"/>
          </w:rPr>
          <w:t xml:space="preserve">https://www.sciencedirect.com/science/article/pii/S1386505623001405</w:t>
        </w:r>
      </w:hyperlink>
    </w:p>
    <w:bookmarkEnd w:id="209"/>
    <w:bookmarkStart w:id="211"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0">
        <w:r>
          <w:rPr>
            <w:rStyle w:val="Hyperlink"/>
          </w:rPr>
          <w:t xml:space="preserve">https://www.health.org.uk/publications/understanding-analytical-capability-in-health-care</w:t>
        </w:r>
      </w:hyperlink>
    </w:p>
    <w:bookmarkEnd w:id="211"/>
    <w:bookmarkStart w:id="213"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2">
        <w:r>
          <w:rPr>
            <w:rStyle w:val="Hyperlink"/>
          </w:rPr>
          <w:t xml:space="preserve">https://link.springer.com/article/10.1007/s10916-020-01665-9</w:t>
        </w:r>
      </w:hyperlink>
    </w:p>
    <w:bookmarkEnd w:id="213"/>
    <w:bookmarkStart w:id="215" w:name="ref-carvalho2019"/>
    <w:p>
      <w:pPr>
        <w:pStyle w:val="Bibliography"/>
      </w:pPr>
      <w:r>
        <w:t xml:space="preserve">54.</w:t>
      </w:r>
      <w:r>
        <w:t xml:space="preserve"> </w:t>
      </w:r>
      <w:r>
        <w:t xml:space="preserve">	</w:t>
      </w:r>
      <w:r>
        <w:t xml:space="preserve">Carvalho JV, Rocha Á, Vasconcelos J.</w:t>
      </w:r>
      <w:r>
        <w:t xml:space="preserve"> </w:t>
      </w:r>
      <w:hyperlink r:id="rId214">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5"/>
    <w:bookmarkStart w:id="217"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16">
        <w:r>
          <w:rPr>
            <w:rStyle w:val="Hyperlink"/>
          </w:rPr>
          <w:t xml:space="preserve">https://scholarworks.wmich.edu/ichita_transactions/37/</w:t>
        </w:r>
      </w:hyperlink>
    </w:p>
    <w:bookmarkEnd w:id="217"/>
    <w:bookmarkStart w:id="219"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18">
        <w:r>
          <w:rPr>
            <w:rStyle w:val="Hyperlink"/>
          </w:rPr>
          <w:t xml:space="preserve">https://onlinelibrary.wiley.com/doi/abs/10.1002/smr.2415</w:t>
        </w:r>
      </w:hyperlink>
    </w:p>
    <w:bookmarkEnd w:id="219"/>
    <w:bookmarkStart w:id="221"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20">
        <w:r>
          <w:rPr>
            <w:rStyle w:val="Hyperlink"/>
          </w:rPr>
          <w:t xml:space="preserve">https://www.sciencedirect.com/science/article/abs/pii/S0268401216305655</w:t>
        </w:r>
      </w:hyperlink>
    </w:p>
    <w:bookmarkEnd w:id="221"/>
    <w:bookmarkStart w:id="223"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22">
        <w:r>
          <w:rPr>
            <w:rStyle w:val="Hyperlink"/>
          </w:rPr>
          <w:t xml:space="preserve">https://jamanetwork.com/journals/jamanetworkopen/fullarticle/2777777</w:t>
        </w:r>
      </w:hyperlink>
    </w:p>
    <w:bookmarkEnd w:id="223"/>
    <w:bookmarkStart w:id="225"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24">
        <w:r>
          <w:rPr>
            <w:rStyle w:val="Hyperlink"/>
          </w:rPr>
          <w:t xml:space="preserve">https://academic.oup.com/jamia/article-abstract/9/6/600/1036696</w:t>
        </w:r>
      </w:hyperlink>
    </w:p>
    <w:bookmarkEnd w:id="225"/>
    <w:bookmarkStart w:id="227"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26">
        <w:r>
          <w:rPr>
            <w:rStyle w:val="Hyperlink"/>
          </w:rPr>
          <w:t xml:space="preserve">https://qualitysafety.bmj.com/content/22/3/219.short</w:t>
        </w:r>
      </w:hyperlink>
    </w:p>
    <w:bookmarkEnd w:id="227"/>
    <w:bookmarkStart w:id="229"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28">
        <w:r>
          <w:rPr>
            <w:rStyle w:val="Hyperlink"/>
          </w:rPr>
          <w:t xml:space="preserve">https://medinform.jmir.org/2020/11/e19612/</w:t>
        </w:r>
      </w:hyperlink>
    </w:p>
    <w:bookmarkEnd w:id="229"/>
    <w:bookmarkStart w:id="231"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30">
        <w:r>
          <w:rPr>
            <w:rStyle w:val="Hyperlink"/>
          </w:rPr>
          <w:t xml:space="preserve">https://www.sciencedirect.com/science/article/abs/pii/S1386505618300443</w:t>
        </w:r>
      </w:hyperlink>
    </w:p>
    <w:bookmarkEnd w:id="231"/>
    <w:bookmarkStart w:id="233"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32">
        <w:r>
          <w:rPr>
            <w:rStyle w:val="Hyperlink"/>
          </w:rPr>
          <w:t xml:space="preserve">https://link.springer.com/article/10.1186/s12911-021-01470-5</w:t>
        </w:r>
      </w:hyperlink>
    </w:p>
    <w:bookmarkEnd w:id="233"/>
    <w:bookmarkStart w:id="235"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34">
        <w:r>
          <w:rPr>
            <w:rStyle w:val="Hyperlink"/>
          </w:rPr>
          <w:t xml:space="preserve">https://academic.oup.com/database/article/doi/10.1093/database/bav121/2630096</w:t>
        </w:r>
      </w:hyperlink>
    </w:p>
    <w:bookmarkEnd w:id="235"/>
    <w:bookmarkStart w:id="237"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36">
        <w:r>
          <w:rPr>
            <w:rStyle w:val="Hyperlink"/>
          </w:rPr>
          <w:t xml:space="preserve">https://ieeexplore.ieee.org/abstract/document/8104211</w:t>
        </w:r>
      </w:hyperlink>
    </w:p>
    <w:bookmarkEnd w:id="237"/>
    <w:bookmarkStart w:id="239"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38">
        <w:r>
          <w:rPr>
            <w:rStyle w:val="Hyperlink"/>
          </w:rPr>
          <w:t xml:space="preserve">https://www.jmir.org/2022/1/e25440/</w:t>
        </w:r>
      </w:hyperlink>
    </w:p>
    <w:bookmarkEnd w:id="239"/>
    <w:bookmarkStart w:id="241"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40">
        <w:r>
          <w:rPr>
            <w:rStyle w:val="Hyperlink"/>
          </w:rPr>
          <w:t xml:space="preserve">https://link.springer.com/article/10.1186/s12913-017-2697-y</w:t>
        </w:r>
      </w:hyperlink>
    </w:p>
    <w:bookmarkEnd w:id="241"/>
    <w:bookmarkStart w:id="243"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42">
        <w:r>
          <w:rPr>
            <w:rStyle w:val="Hyperlink"/>
          </w:rPr>
          <w:t xml:space="preserve">https://ebooks.iospress.nl/volumearticle/35106</w:t>
        </w:r>
      </w:hyperlink>
    </w:p>
    <w:bookmarkEnd w:id="243"/>
    <w:bookmarkStart w:id="245"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4">
        <w:r>
          <w:rPr>
            <w:rStyle w:val="Hyperlink"/>
          </w:rPr>
          <w:t xml:space="preserve">https://pmc.ncbi.nlm.nih.gov/articles/PMC10802134/</w:t>
        </w:r>
      </w:hyperlink>
    </w:p>
    <w:bookmarkEnd w:id="245"/>
    <w:bookmarkStart w:id="247"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6">
        <w:r>
          <w:rPr>
            <w:rStyle w:val="Hyperlink"/>
          </w:rPr>
          <w:t xml:space="preserve">https://pmc.ncbi.nlm.nih.gov/articles/PMC11919231/</w:t>
        </w:r>
      </w:hyperlink>
    </w:p>
    <w:bookmarkEnd w:id="247"/>
    <w:bookmarkStart w:id="249"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48">
        <w:r>
          <w:rPr>
            <w:rStyle w:val="Hyperlink"/>
          </w:rPr>
          <w:t xml:space="preserve">https://academic.oup.com/jpart/advance-article-abstract/doi/10.1093/jopart/muaf019/8162522</w:t>
        </w:r>
      </w:hyperlink>
    </w:p>
    <w:bookmarkEnd w:id="249"/>
    <w:bookmarkStart w:id="251"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0">
        <w:r>
          <w:rPr>
            <w:rStyle w:val="Hyperlink"/>
          </w:rPr>
          <w:t xml:space="preserve">https://www.annfammed.org/content/17/1/36</w:t>
        </w:r>
      </w:hyperlink>
    </w:p>
    <w:bookmarkEnd w:id="251"/>
    <w:bookmarkStart w:id="253"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52">
        <w:r>
          <w:rPr>
            <w:rStyle w:val="Hyperlink"/>
          </w:rPr>
          <w:t xml:space="preserve">https://www.nsinursingsolutions.com/documents/library/nsi_national_health_care_retention_report.pdf</w:t>
        </w:r>
      </w:hyperlink>
    </w:p>
    <w:bookmarkEnd w:id="253"/>
    <w:bookmarkStart w:id="255"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4">
        <w:r>
          <w:rPr>
            <w:rStyle w:val="Hyperlink"/>
          </w:rPr>
          <w:t xml:space="preserve">https://human-resources-health.biomedcentral.com/articles/10.1186/1478-4491-11-35</w:t>
        </w:r>
      </w:hyperlink>
    </w:p>
    <w:bookmarkEnd w:id="255"/>
    <w:bookmarkStart w:id="257"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6">
        <w:r>
          <w:rPr>
            <w:rStyle w:val="Hyperlink"/>
          </w:rPr>
          <w:t xml:space="preserve">https://pubmed.ncbi.nlm.nih.gov/20054502/</w:t>
        </w:r>
      </w:hyperlink>
    </w:p>
    <w:bookmarkEnd w:id="257"/>
    <w:bookmarkStart w:id="259"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58">
        <w:r>
          <w:rPr>
            <w:rStyle w:val="Hyperlink"/>
          </w:rPr>
          <w:t xml:space="preserve">https://pmc.ncbi.nlm.nih.gov/articles/PMC10243608/</w:t>
        </w:r>
      </w:hyperlink>
    </w:p>
    <w:bookmarkEnd w:id="259"/>
    <w:bookmarkStart w:id="261"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0">
        <w:r>
          <w:rPr>
            <w:rStyle w:val="Hyperlink"/>
          </w:rPr>
          <w:t xml:space="preserve">https://www.diva-portal.org/smash/record.jsf?pid=diva2:1684142</w:t>
        </w:r>
      </w:hyperlink>
    </w:p>
    <w:bookmarkEnd w:id="261"/>
    <w:bookmarkStart w:id="263"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2">
        <w:r>
          <w:rPr>
            <w:rStyle w:val="Hyperlink"/>
          </w:rPr>
          <w:t xml:space="preserve">https://www.redjournal.org/article/S0360-3016(16)00260-1/fulltext</w:t>
        </w:r>
      </w:hyperlink>
    </w:p>
    <w:bookmarkEnd w:id="263"/>
    <w:bookmarkStart w:id="265"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4">
        <w:r>
          <w:rPr>
            <w:rStyle w:val="Hyperlink"/>
          </w:rPr>
          <w:t xml:space="preserve">https://onlinelibrary.wiley.com/doi/abs/10.1111/j.1540-5885.2010.00798.x</w:t>
        </w:r>
      </w:hyperlink>
    </w:p>
    <w:bookmarkEnd w:id="265"/>
    <w:bookmarkStart w:id="267"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6">
        <w:r>
          <w:rPr>
            <w:rStyle w:val="Hyperlink"/>
          </w:rPr>
          <w:t xml:space="preserve">https://arxiv.org/abs/1908.01839</w:t>
        </w:r>
      </w:hyperlink>
    </w:p>
    <w:bookmarkEnd w:id="267"/>
    <w:bookmarkStart w:id="269"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8">
        <w:r>
          <w:rPr>
            <w:rStyle w:val="Hyperlink"/>
          </w:rPr>
          <w:t xml:space="preserve">https://academic.oup.com/jamia/article-abstract/26/4/294/5308980</w:t>
        </w:r>
      </w:hyperlink>
    </w:p>
    <w:bookmarkEnd w:id="269"/>
    <w:bookmarkStart w:id="271"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70">
        <w:r>
          <w:rPr>
            <w:rStyle w:val="Hyperlink"/>
          </w:rPr>
          <w:t xml:space="preserve">https://arxiv.org/abs/2508.08224</w:t>
        </w:r>
      </w:hyperlink>
    </w:p>
    <w:bookmarkEnd w:id="271"/>
    <w:bookmarkStart w:id="273"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72">
        <w:r>
          <w:rPr>
            <w:rStyle w:val="Hyperlink"/>
          </w:rPr>
          <w:t xml:space="preserve">https://arxiv.org/abs/2505.08775</w:t>
        </w:r>
      </w:hyperlink>
    </w:p>
    <w:bookmarkEnd w:id="273"/>
    <w:bookmarkStart w:id="275"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74">
        <w:r>
          <w:rPr>
            <w:rStyle w:val="Hyperlink"/>
          </w:rPr>
          <w:t xml:space="preserve">https://ai.nejm.org/doi/full/10.1056/AIdbp2500144</w:t>
        </w:r>
      </w:hyperlink>
    </w:p>
    <w:bookmarkEnd w:id="275"/>
    <w:bookmarkStart w:id="277"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76">
        <w:r>
          <w:rPr>
            <w:rStyle w:val="Hyperlink"/>
          </w:rPr>
          <w:t xml:space="preserve">https://www.nature.com/articles/s41746-024-01390-4</w:t>
        </w:r>
      </w:hyperlink>
    </w:p>
    <w:bookmarkEnd w:id="277"/>
    <w:bookmarkStart w:id="279"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78">
        <w:r>
          <w:rPr>
            <w:rStyle w:val="Hyperlink"/>
          </w:rPr>
          <w:t xml:space="preserve">https://www.mdpi.com/2504-2289/9/10/256</w:t>
        </w:r>
      </w:hyperlink>
    </w:p>
    <w:bookmarkEnd w:id="279"/>
    <w:bookmarkStart w:id="281"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80">
        <w:r>
          <w:rPr>
            <w:rStyle w:val="Hyperlink"/>
          </w:rPr>
          <w:t xml:space="preserve">https://arxiv.org/abs/2301.07695</w:t>
        </w:r>
      </w:hyperlink>
    </w:p>
    <w:bookmarkEnd w:id="281"/>
    <w:bookmarkStart w:id="283"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82">
        <w:r>
          <w:rPr>
            <w:rStyle w:val="Hyperlink"/>
          </w:rPr>
          <w:t xml:space="preserve">https://arxiv.org/abs/2411.05521</w:t>
        </w:r>
      </w:hyperlink>
    </w:p>
    <w:bookmarkEnd w:id="283"/>
    <w:bookmarkStart w:id="285"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84">
        <w:r>
          <w:rPr>
            <w:rStyle w:val="Hyperlink"/>
          </w:rPr>
          <w:t xml:space="preserve">https://arxiv.org/abs/2511.17559</w:t>
        </w:r>
      </w:hyperlink>
    </w:p>
    <w:bookmarkEnd w:id="285"/>
    <w:bookmarkStart w:id="287"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86">
        <w:r>
          <w:rPr>
            <w:rStyle w:val="Hyperlink"/>
          </w:rPr>
          <w:t xml:space="preserve">https://www.sciencedirect.com/science/article/pii/S0031320324008197</w:t>
        </w:r>
      </w:hyperlink>
    </w:p>
    <w:bookmarkEnd w:id="287"/>
    <w:bookmarkStart w:id="289"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88">
        <w:r>
          <w:rPr>
            <w:rStyle w:val="Hyperlink"/>
          </w:rPr>
          <w:t xml:space="preserve">https://al-kindipublisher.com/index.php/jcsts/article/view/9694</w:t>
        </w:r>
      </w:hyperlink>
    </w:p>
    <w:bookmarkEnd w:id="289"/>
    <w:bookmarkStart w:id="291"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90">
        <w:r>
          <w:rPr>
            <w:rStyle w:val="Hyperlink"/>
          </w:rPr>
          <w:t xml:space="preserve">https://www.sciencedirect.com/science/article/pii/S1532046424000650</w:t>
        </w:r>
      </w:hyperlink>
    </w:p>
    <w:bookmarkEnd w:id="291"/>
    <w:bookmarkStart w:id="293"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92">
        <w:r>
          <w:rPr>
            <w:rStyle w:val="Hyperlink"/>
          </w:rPr>
          <w:t xml:space="preserve">https://arxiv.org/abs/2511.14718</w:t>
        </w:r>
      </w:hyperlink>
    </w:p>
    <w:bookmarkEnd w:id="293"/>
    <w:bookmarkStart w:id="295"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94">
        <w:r>
          <w:rPr>
            <w:rStyle w:val="Hyperlink"/>
          </w:rPr>
          <w:t xml:space="preserve">https://dl.acm.org/doi/abs/10.1145/3318464.3389777</w:t>
        </w:r>
      </w:hyperlink>
    </w:p>
    <w:bookmarkEnd w:id="295"/>
    <w:bookmarkStart w:id="297"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96">
        <w:r>
          <w:rPr>
            <w:rStyle w:val="Hyperlink"/>
          </w:rPr>
          <w:t xml:space="preserve">https://www.sciencedirect.com/science/article/pii/S1532046414001592</w:t>
        </w:r>
      </w:hyperlink>
    </w:p>
    <w:bookmarkEnd w:id="297"/>
    <w:bookmarkStart w:id="299"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8">
        <w:r>
          <w:rPr>
            <w:rStyle w:val="Hyperlink"/>
          </w:rPr>
          <w:t xml:space="preserve">https://medinform.jmir.org/2019/3/e13331</w:t>
        </w:r>
      </w:hyperlink>
    </w:p>
    <w:bookmarkEnd w:id="299"/>
    <w:bookmarkStart w:id="301"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00">
        <w:r>
          <w:rPr>
            <w:rStyle w:val="Hyperlink"/>
          </w:rPr>
          <w:t xml:space="preserve">https://www.frontiersin.org/articles/10.3389/fdata.2024.1371680</w:t>
        </w:r>
      </w:hyperlink>
    </w:p>
    <w:bookmarkEnd w:id="301"/>
    <w:bookmarkStart w:id="303"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02">
        <w:r>
          <w:rPr>
            <w:rStyle w:val="Hyperlink"/>
          </w:rPr>
          <w:t xml:space="preserve">https://www.proquest.com/openview/0d955ee8209664a4447c9995a1b9e721/1?pq-origsite=gscholar&amp;cbl=326365</w:t>
        </w:r>
      </w:hyperlink>
    </w:p>
    <w:bookmarkEnd w:id="303"/>
    <w:bookmarkStart w:id="305"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04">
        <w:r>
          <w:rPr>
            <w:rStyle w:val="Hyperlink"/>
          </w:rPr>
          <w:t xml:space="preserve">https://sarcouncil.com/2025/06/ai-driven-mainframe-modernization-unlocking-legacy-data-for-cloud-analytics</w:t>
        </w:r>
      </w:hyperlink>
    </w:p>
    <w:bookmarkEnd w:id="305"/>
    <w:bookmarkStart w:id="307"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06">
        <w:r>
          <w:rPr>
            <w:rStyle w:val="Hyperlink"/>
          </w:rPr>
          <w:t xml:space="preserve">https://www.google.com/books/edition/ADVANCING_SELFSERVICE_BI_The_Rise_of_Aut/np01EQAAQBAJ</w:t>
        </w:r>
      </w:hyperlink>
    </w:p>
    <w:bookmarkEnd w:id="307"/>
    <w:bookmarkStart w:id="309" w:name="ref-samimi2025"/>
    <w:p>
      <w:pPr>
        <w:pStyle w:val="Bibliography"/>
      </w:pPr>
      <w:r>
        <w:t xml:space="preserve">101.</w:t>
      </w:r>
      <w:r>
        <w:t xml:space="preserve"> </w:t>
      </w:r>
      <w:r>
        <w:t xml:space="preserve">	</w:t>
      </w:r>
      <w:r>
        <w:t xml:space="preserve">Samimi R, Bhattacharya A, Gosak L, Stiglic G, Verbert K.</w:t>
      </w:r>
      <w:r>
        <w:t xml:space="preserve"> </w:t>
      </w:r>
      <w:hyperlink r:id="rId308">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9"/>
    <w:bookmarkStart w:id="311" w:name="ref-ruoff2023"/>
    <w:p>
      <w:pPr>
        <w:pStyle w:val="Bibliography"/>
      </w:pPr>
      <w:r>
        <w:t xml:space="preserve">102.</w:t>
      </w:r>
      <w:r>
        <w:t xml:space="preserve"> </w:t>
      </w:r>
      <w:r>
        <w:t xml:space="preserve">	</w:t>
      </w:r>
      <w:r>
        <w:t xml:space="preserve">Ruoff M, Gnewuch U, Maedche A, Scheibehenne B.</w:t>
      </w:r>
      <w:r>
        <w:t xml:space="preserve"> </w:t>
      </w:r>
      <w:hyperlink r:id="rId310">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11"/>
    <w:bookmarkStart w:id="313"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12">
        <w:r>
          <w:rPr>
            <w:rStyle w:val="Hyperlink"/>
          </w:rPr>
          <w:t xml:space="preserve">https://ieeexplore.ieee.org/abstract/document/9303381</w:t>
        </w:r>
      </w:hyperlink>
    </w:p>
    <w:bookmarkEnd w:id="313"/>
    <w:bookmarkStart w:id="315"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14">
        <w:r>
          <w:rPr>
            <w:rStyle w:val="Hyperlink"/>
          </w:rPr>
          <w:t xml:space="preserve">https://dl.acm.org/doi/abs/10.1145/3335082.3335094</w:t>
        </w:r>
      </w:hyperlink>
    </w:p>
    <w:bookmarkEnd w:id="315"/>
    <w:bookmarkStart w:id="317"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16">
        <w:r>
          <w:rPr>
            <w:rStyle w:val="Hyperlink"/>
          </w:rPr>
          <w:t xml:space="preserve">https://www.academia.edu/download/41283190/Design_and_evaluation_of_systems_to_supp20160117-25708-98zc50.pdf</w:t>
        </w:r>
      </w:hyperlink>
    </w:p>
    <w:bookmarkEnd w:id="317"/>
    <w:bookmarkStart w:id="319"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18">
        <w:r>
          <w:rPr>
            <w:rStyle w:val="Hyperlink"/>
          </w:rPr>
          <w:t xml:space="preserve">https://www.mdpi.com/1660-4601/17/12/4267</w:t>
        </w:r>
      </w:hyperlink>
    </w:p>
    <w:bookmarkEnd w:id="319"/>
    <w:bookmarkStart w:id="321"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20">
        <w:r>
          <w:rPr>
            <w:rStyle w:val="Hyperlink"/>
          </w:rPr>
          <w:t xml:space="preserve">https://wendyju.com/publications/18_ijee3593.pdf</w:t>
        </w:r>
      </w:hyperlink>
    </w:p>
    <w:bookmarkEnd w:id="321"/>
    <w:bookmarkStart w:id="323"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22">
        <w:r>
          <w:rPr>
            <w:rStyle w:val="Hyperlink"/>
          </w:rPr>
          <w:t xml:space="preserve">https://bioinform.jmir.org/2025/1/e63139</w:t>
        </w:r>
      </w:hyperlink>
    </w:p>
    <w:bookmarkEnd w:id="323"/>
    <w:bookmarkStart w:id="325"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4">
        <w:r>
          <w:rPr>
            <w:rStyle w:val="Hyperlink"/>
          </w:rPr>
          <w:t xml:space="preserve">https://sarcouncil.com/download-article/SJECS-209-_2025-630-636.pdf</w:t>
        </w:r>
      </w:hyperlink>
    </w:p>
    <w:bookmarkEnd w:id="325"/>
    <w:bookmarkStart w:id="327"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26">
        <w:r>
          <w:rPr>
            <w:rStyle w:val="Hyperlink"/>
          </w:rPr>
          <w:t xml:space="preserve">https://ieeexplore.ieee.org/document/10186753</w:t>
        </w:r>
      </w:hyperlink>
    </w:p>
    <w:bookmarkEnd w:id="327"/>
    <w:bookmarkStart w:id="329"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28">
        <w:r>
          <w:rPr>
            <w:rStyle w:val="Hyperlink"/>
          </w:rPr>
          <w:t xml:space="preserve">https://mds.marshall.edu/etd/1824/</w:t>
        </w:r>
      </w:hyperlink>
    </w:p>
    <w:bookmarkEnd w:id="329"/>
    <w:bookmarkStart w:id="331"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0">
        <w:r>
          <w:rPr>
            <w:rStyle w:val="Hyperlink"/>
          </w:rPr>
          <w:t xml:space="preserve">https://gisrrj.com/paper/GISRRJ236426.pdf</w:t>
        </w:r>
      </w:hyperlink>
    </w:p>
    <w:bookmarkEnd w:id="331"/>
    <w:bookmarkStart w:id="333"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32">
        <w:r>
          <w:rPr>
            <w:rStyle w:val="Hyperlink"/>
          </w:rPr>
          <w:t xml:space="preserve">https://ieeexplore.ieee.org/document/10297311</w:t>
        </w:r>
      </w:hyperlink>
    </w:p>
    <w:bookmarkEnd w:id="333"/>
    <w:bookmarkStart w:id="335"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34">
        <w:r>
          <w:rPr>
            <w:rStyle w:val="Hyperlink"/>
          </w:rPr>
          <w:t xml:space="preserve">https://ieeexplore.ieee.org/abstract/document/10373712/</w:t>
        </w:r>
      </w:hyperlink>
    </w:p>
    <w:bookmarkEnd w:id="335"/>
    <w:bookmarkStart w:id="337"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36">
        <w:r>
          <w:rPr>
            <w:rStyle w:val="Hyperlink"/>
          </w:rPr>
          <w:t xml:space="preserve">https://imjstb.com/index.php/Journal/article/view/95</w:t>
        </w:r>
      </w:hyperlink>
    </w:p>
    <w:bookmarkEnd w:id="337"/>
    <w:bookmarkStart w:id="339"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38">
        <w:r>
          <w:rPr>
            <w:rStyle w:val="Hyperlink"/>
          </w:rPr>
          <w:t xml:space="preserve">https://journals.sagepub.com/doi/full/10.1177/23743735241253785</w:t>
        </w:r>
      </w:hyperlink>
    </w:p>
    <w:bookmarkEnd w:id="339"/>
    <w:bookmarkStart w:id="341"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40">
        <w:r>
          <w:rPr>
            <w:rStyle w:val="Hyperlink"/>
          </w:rPr>
          <w:t xml:space="preserve">https://academic.oup.com/jamia/article/14/6/687/750453</w:t>
        </w:r>
      </w:hyperlink>
    </w:p>
    <w:bookmarkEnd w:id="341"/>
    <w:bookmarkStart w:id="343"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2">
        <w:r>
          <w:rPr>
            <w:rStyle w:val="Hyperlink"/>
          </w:rPr>
          <w:t xml:space="preserve">https://www.acpjournals.org/doi/10.7326/M19-0871</w:t>
        </w:r>
      </w:hyperlink>
    </w:p>
    <w:bookmarkEnd w:id="343"/>
    <w:bookmarkStart w:id="345"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4">
        <w:r>
          <w:rPr>
            <w:rStyle w:val="Hyperlink"/>
          </w:rPr>
          <w:t xml:space="preserve">https://www.sciencedirect.com/science/article/pii/S0168851021002396</w:t>
        </w:r>
      </w:hyperlink>
    </w:p>
    <w:bookmarkEnd w:id="345"/>
    <w:bookmarkStart w:id="347"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46">
        <w:r>
          <w:rPr>
            <w:rStyle w:val="Hyperlink"/>
          </w:rPr>
          <w:t xml:space="preserve">https://ieeexplore.ieee.org/abstract/document/8678513/</w:t>
        </w:r>
      </w:hyperlink>
    </w:p>
    <w:bookmarkEnd w:id="347"/>
    <w:bookmarkStart w:id="349"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48">
        <w:r>
          <w:rPr>
            <w:rStyle w:val="Hyperlink"/>
          </w:rPr>
          <w:t xml:space="preserve">https://oulurepo.oulu.fi/bitstream/handle/10024/27921/nbnfi-fe2020050424858.pdf</w:t>
        </w:r>
      </w:hyperlink>
    </w:p>
    <w:bookmarkEnd w:id="349"/>
    <w:bookmarkStart w:id="351"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0">
        <w:r>
          <w:rPr>
            <w:rStyle w:val="Hyperlink"/>
          </w:rPr>
          <w:t xml:space="preserve">https://www.academicradiology.org/article/S1076-6332(21)00140-9/abstract</w:t>
        </w:r>
      </w:hyperlink>
    </w:p>
    <w:bookmarkEnd w:id="351"/>
    <w:bookmarkStart w:id="353"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2">
        <w:r>
          <w:rPr>
            <w:rStyle w:val="Hyperlink"/>
          </w:rPr>
          <w:t xml:space="preserve">https://journals.sagepub.com/doi/abs/10.1177/00081256221094307</w:t>
        </w:r>
      </w:hyperlink>
    </w:p>
    <w:bookmarkEnd w:id="353"/>
    <w:bookmarkStart w:id="354"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354"/>
    <w:bookmarkStart w:id="356"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55">
        <w:r>
          <w:rPr>
            <w:rStyle w:val="Hyperlink"/>
          </w:rPr>
          <w:t xml:space="preserve">https://tools.totaleconomicimpact.com/go/microsoft/powerapps/</w:t>
        </w:r>
      </w:hyperlink>
    </w:p>
    <w:bookmarkEnd w:id="356"/>
    <w:bookmarkStart w:id="358"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7">
        <w:r>
          <w:rPr>
            <w:rStyle w:val="Hyperlink"/>
          </w:rPr>
          <w:t xml:space="preserve">https://medinform.jmir.org/2022/2/e32875</w:t>
        </w:r>
      </w:hyperlink>
    </w:p>
    <w:bookmarkEnd w:id="358"/>
    <w:bookmarkStart w:id="360"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9">
        <w:r>
          <w:rPr>
            <w:rStyle w:val="Hyperlink"/>
          </w:rPr>
          <w:t xml:space="preserve">https://pages.himss.org/LP-HA-Case-Study-UC-Davis.html</w:t>
        </w:r>
      </w:hyperlink>
    </w:p>
    <w:bookmarkEnd w:id="360"/>
    <w:bookmarkStart w:id="362" w:name="ref-lenz2007"/>
    <w:p>
      <w:pPr>
        <w:pStyle w:val="Bibliography"/>
      </w:pPr>
      <w:r>
        <w:t xml:space="preserve">128.</w:t>
      </w:r>
      <w:r>
        <w:t xml:space="preserve"> </w:t>
      </w:r>
      <w:r>
        <w:t xml:space="preserve">	</w:t>
      </w:r>
      <w:r>
        <w:t xml:space="preserve">Lenz R, Beyer M, Kuhn KA.</w:t>
      </w:r>
      <w:r>
        <w:t xml:space="preserve"> </w:t>
      </w:r>
      <w:hyperlink r:id="rId361">
        <w:r>
          <w:rPr>
            <w:rStyle w:val="Hyperlink"/>
          </w:rPr>
          <w:t xml:space="preserve">Semantic integration in healthcare networks</w:t>
        </w:r>
      </w:hyperlink>
      <w:r>
        <w:t xml:space="preserve">. International Journal of Medical Informatics. 2007;76(2-3):201–7.</w:t>
      </w:r>
      <w:r>
        <w:t xml:space="preserve"> </w:t>
      </w:r>
    </w:p>
    <w:bookmarkEnd w:id="362"/>
    <w:bookmarkStart w:id="364" w:name="ref-oliveira2023"/>
    <w:p>
      <w:pPr>
        <w:pStyle w:val="Bibliography"/>
      </w:pPr>
      <w:r>
        <w:t xml:space="preserve">129.</w:t>
      </w:r>
      <w:r>
        <w:t xml:space="preserve"> </w:t>
      </w:r>
      <w:r>
        <w:t xml:space="preserve">	</w:t>
      </w:r>
      <w:r>
        <w:t xml:space="preserve">Oliveira MAP et al.</w:t>
      </w:r>
      <w:r>
        <w:t xml:space="preserve"> Semantic modelling for enterprise data governance 4.0. arXiv preprint arXiv:231102082 [Internet]. 2023; Available from:</w:t>
      </w:r>
      <w:r>
        <w:t xml:space="preserve"> </w:t>
      </w:r>
      <w:hyperlink r:id="rId363">
        <w:r>
          <w:rPr>
            <w:rStyle w:val="Hyperlink"/>
          </w:rPr>
          <w:t xml:space="preserve">https://arxiv.org/pdf/2311.02082</w:t>
        </w:r>
      </w:hyperlink>
    </w:p>
    <w:bookmarkEnd w:id="364"/>
    <w:bookmarkStart w:id="366"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65">
        <w:r>
          <w:rPr>
            <w:rStyle w:val="Hyperlink"/>
          </w:rPr>
          <w:t xml:space="preserve">https://books.google.com/books?id=9uqiEAAAQBAJ</w:t>
        </w:r>
      </w:hyperlink>
    </w:p>
    <w:bookmarkEnd w:id="366"/>
    <w:bookmarkStart w:id="368"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67">
        <w:r>
          <w:rPr>
            <w:rStyle w:val="Hyperlink"/>
          </w:rPr>
          <w:t xml:space="preserve">https://www.quantbeckman.com/api/v1/file/5b240742-bf0d-4f8c-a0f9-cb29fab42611.pdf</w:t>
        </w:r>
      </w:hyperlink>
    </w:p>
    <w:bookmarkEnd w:id="368"/>
    <w:bookmarkStart w:id="370"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69">
        <w:r>
          <w:rPr>
            <w:rStyle w:val="Hyperlink"/>
          </w:rPr>
          <w:t xml:space="preserve">https://mail.vldb.org/archives/website/2005/program/paper/fri/p1006-yu.pdf</w:t>
        </w:r>
      </w:hyperlink>
    </w:p>
    <w:bookmarkEnd w:id="370"/>
    <w:bookmarkStart w:id="372"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71">
        <w:r>
          <w:rPr>
            <w:rStyle w:val="Hyperlink"/>
          </w:rPr>
          <w:t xml:space="preserve">https://www.taylorfrancis.com/chapters/edit/10.1201/9781003716686-10/semantic-web-addressing-data-integration-challenges-semantic-data-fabric-healthcare-sivaranjani-tharunika-bhuvaneswari</w:t>
        </w:r>
      </w:hyperlink>
    </w:p>
    <w:bookmarkEnd w:id="372"/>
    <w:bookmarkStart w:id="374" w:name="ref-battula2025"/>
    <w:p>
      <w:pPr>
        <w:pStyle w:val="Bibliography"/>
      </w:pPr>
      <w:r>
        <w:t xml:space="preserve">134.</w:t>
      </w:r>
      <w:r>
        <w:t xml:space="preserve"> </w:t>
      </w:r>
      <w:r>
        <w:t xml:space="preserve">	</w:t>
      </w:r>
      <w:r>
        <w:t xml:space="preserve">Battula SKY.</w:t>
      </w:r>
      <w:r>
        <w:t xml:space="preserve"> </w:t>
      </w:r>
      <w:hyperlink r:id="rId37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4"/>
    <w:bookmarkStart w:id="376" w:name="ref-zimmermann2017"/>
    <w:p>
      <w:pPr>
        <w:pStyle w:val="Bibliography"/>
      </w:pPr>
      <w:r>
        <w:t xml:space="preserve">135.</w:t>
      </w:r>
      <w:r>
        <w:t xml:space="preserve"> </w:t>
      </w:r>
      <w:r>
        <w:t xml:space="preserve">	</w:t>
      </w:r>
      <w:r>
        <w:t xml:space="preserve">Zimmermann S, Rentrop C, Felden C.</w:t>
      </w:r>
      <w:r>
        <w:t xml:space="preserve"> </w:t>
      </w:r>
      <w:hyperlink r:id="rId375">
        <w:r>
          <w:rPr>
            <w:rStyle w:val="Hyperlink"/>
          </w:rPr>
          <w:t xml:space="preserve">A Multiple Case Study on the Nature and Management of Shadow Information Technology</w:t>
        </w:r>
      </w:hyperlink>
      <w:r>
        <w:t xml:space="preserve">. Journal of Information Systems. 2017;31(1):79–101.</w:t>
      </w:r>
      <w:r>
        <w:t xml:space="preserve"> </w:t>
      </w:r>
    </w:p>
    <w:bookmarkEnd w:id="376"/>
    <w:bookmarkStart w:id="378" w:name="ref-rivard1987"/>
    <w:p>
      <w:pPr>
        <w:pStyle w:val="Bibliography"/>
      </w:pPr>
      <w:r>
        <w:t xml:space="preserve">136.</w:t>
      </w:r>
      <w:r>
        <w:t xml:space="preserve"> </w:t>
      </w:r>
      <w:r>
        <w:t xml:space="preserve">	</w:t>
      </w:r>
      <w:r>
        <w:t xml:space="preserve">Rivard S.</w:t>
      </w:r>
      <w:r>
        <w:t xml:space="preserve"> </w:t>
      </w:r>
      <w:hyperlink r:id="rId377">
        <w:r>
          <w:rPr>
            <w:rStyle w:val="Hyperlink"/>
          </w:rPr>
          <w:t xml:space="preserve">Successful Implementation of End-User Computing</w:t>
        </w:r>
      </w:hyperlink>
      <w:r>
        <w:t xml:space="preserve">. Interfaces. 1987;17(3):25–33.</w:t>
      </w:r>
      <w:r>
        <w:t xml:space="preserve"> </w:t>
      </w:r>
    </w:p>
    <w:bookmarkEnd w:id="378"/>
    <w:bookmarkStart w:id="380" w:name="ref-kopper2020"/>
    <w:p>
      <w:pPr>
        <w:pStyle w:val="Bibliography"/>
      </w:pPr>
      <w:r>
        <w:t xml:space="preserve">137.</w:t>
      </w:r>
      <w:r>
        <w:t xml:space="preserve"> </w:t>
      </w:r>
      <w:r>
        <w:t xml:space="preserve">	</w:t>
      </w:r>
      <w:r>
        <w:t xml:space="preserve">Kopper A, Westner M, Strahringer S.</w:t>
      </w:r>
      <w:r>
        <w:t xml:space="preserve"> </w:t>
      </w:r>
      <w:hyperlink r:id="rId37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0"/>
    <w:bookmarkEnd w:id="381"/>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2026-01-16T12:29:56Z</dcterms:created>
  <dcterms:modified xsi:type="dcterms:W3CDTF">2026-01-16T12:29:56Z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1.29.0</vt:lpwstr>
  </property>
</Properties>
</file>